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C4EA0" w14:textId="77777777" w:rsidR="00E320A6" w:rsidRPr="00FB6EEA" w:rsidRDefault="00135EB2" w:rsidP="001A60A5">
      <w:pPr>
        <w:spacing w:after="60"/>
        <w:rPr>
          <w:b/>
          <w:bCs/>
          <w:kern w:val="2"/>
          <w:sz w:val="28"/>
          <w:szCs w:val="28"/>
        </w:rPr>
      </w:pPr>
      <w:r>
        <w:rPr>
          <w:b/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7306E" wp14:editId="37F9BFF5">
                <wp:simplePos x="0" y="0"/>
                <wp:positionH relativeFrom="column">
                  <wp:posOffset>1786255</wp:posOffset>
                </wp:positionH>
                <wp:positionV relativeFrom="paragraph">
                  <wp:posOffset>-700405</wp:posOffset>
                </wp:positionV>
                <wp:extent cx="4005943" cy="420624"/>
                <wp:effectExtent l="0" t="0" r="762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943" cy="4206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34DBF" w14:textId="77777777" w:rsidR="00135EB2" w:rsidRDefault="006641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supplement</w:t>
                            </w:r>
                            <w:r w:rsidR="00135EB2">
                              <w:rPr>
                                <w:sz w:val="20"/>
                                <w:szCs w:val="20"/>
                              </w:rPr>
                              <w:t xml:space="preserve"> to the full 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niversity of California, </w:t>
                            </w:r>
                            <w:r w:rsidR="00135EB2">
                              <w:rPr>
                                <w:sz w:val="20"/>
                                <w:szCs w:val="20"/>
                              </w:rPr>
                              <w:t>San Francisco report</w:t>
                            </w:r>
                            <w:r w:rsidR="00135EB2" w:rsidRPr="00135E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DA6C27" w14:textId="77777777" w:rsidR="00135EB2" w:rsidRPr="00135EB2" w:rsidRDefault="00135E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Pr="00135EB2">
                              <w:rPr>
                                <w:sz w:val="20"/>
                                <w:szCs w:val="20"/>
                              </w:rPr>
                              <w:t>What is Hollywood Hiding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” (April 2020) at </w:t>
                            </w:r>
                            <w:hyperlink r:id="rId7" w:history="1">
                              <w:r w:rsidRPr="00135EB2">
                                <w:rPr>
                                  <w:rStyle w:val="Hyperlink"/>
                                  <w:sz w:val="20"/>
                                  <w:szCs w:val="20"/>
                                  <w:u w:val="none"/>
                                </w:rPr>
                                <w:t>bit.ly/sfm-vod-0420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0.65pt;margin-top:-55.15pt;width:315.45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" fillcolor="white [3201]" strokecolor="#4472c4 [3204]" strokeweight="1pt">
                <v:textbox>
                  <w:txbxContent>
                    <w:p w:rsidR="00135EB2" w:rsidRDefault="006641F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supplement</w:t>
                      </w:r>
                      <w:r w:rsidR="00135EB2">
                        <w:rPr>
                          <w:sz w:val="20"/>
                          <w:szCs w:val="20"/>
                        </w:rPr>
                        <w:t xml:space="preserve"> to the full U</w:t>
                      </w:r>
                      <w:r>
                        <w:rPr>
                          <w:sz w:val="20"/>
                          <w:szCs w:val="20"/>
                        </w:rPr>
                        <w:t xml:space="preserve">niversity of California, </w:t>
                      </w:r>
                      <w:r w:rsidR="00135EB2">
                        <w:rPr>
                          <w:sz w:val="20"/>
                          <w:szCs w:val="20"/>
                        </w:rPr>
                        <w:t>San Francisco report</w:t>
                      </w:r>
                      <w:r w:rsidR="00135EB2" w:rsidRPr="00135EB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35EB2" w:rsidRPr="00135EB2" w:rsidRDefault="00135E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“</w:t>
                      </w:r>
                      <w:r w:rsidRPr="00135EB2">
                        <w:rPr>
                          <w:sz w:val="20"/>
                          <w:szCs w:val="20"/>
                        </w:rPr>
                        <w:t>What is Hollywood Hiding</w:t>
                      </w:r>
                      <w:r>
                        <w:rPr>
                          <w:sz w:val="20"/>
                          <w:szCs w:val="20"/>
                        </w:rPr>
                        <w:t xml:space="preserve">” (April 2020) at </w:t>
                      </w:r>
                      <w:hyperlink r:id="rId8" w:history="1">
                        <w:r w:rsidRPr="00135EB2">
                          <w:rPr>
                            <w:rStyle w:val="Hyperlink"/>
                            <w:sz w:val="20"/>
                            <w:szCs w:val="20"/>
                            <w:u w:val="none"/>
                          </w:rPr>
                          <w:t>bit.ly/sfm-vod-0420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320A6" w:rsidRPr="00FB6EEA">
        <w:rPr>
          <w:b/>
          <w:bCs/>
          <w:kern w:val="2"/>
          <w:sz w:val="28"/>
          <w:szCs w:val="28"/>
        </w:rPr>
        <w:t>How many Netflix original</w:t>
      </w:r>
      <w:r w:rsidR="00EB0A87" w:rsidRPr="00FB6EEA">
        <w:rPr>
          <w:b/>
          <w:bCs/>
          <w:kern w:val="2"/>
          <w:sz w:val="28"/>
          <w:szCs w:val="28"/>
        </w:rPr>
        <w:t xml:space="preserve">, scripted </w:t>
      </w:r>
      <w:r w:rsidR="00E320A6" w:rsidRPr="00FB6EEA">
        <w:rPr>
          <w:b/>
          <w:bCs/>
          <w:kern w:val="2"/>
          <w:sz w:val="28"/>
          <w:szCs w:val="28"/>
        </w:rPr>
        <w:t>TV series</w:t>
      </w:r>
      <w:r w:rsidR="004D4FB0" w:rsidRPr="00FB6EEA">
        <w:rPr>
          <w:b/>
          <w:bCs/>
          <w:kern w:val="2"/>
          <w:sz w:val="28"/>
          <w:szCs w:val="28"/>
        </w:rPr>
        <w:t xml:space="preserve"> are</w:t>
      </w:r>
      <w:r w:rsidR="00235EF9">
        <w:rPr>
          <w:b/>
          <w:bCs/>
          <w:kern w:val="2"/>
          <w:sz w:val="28"/>
          <w:szCs w:val="28"/>
        </w:rPr>
        <w:t xml:space="preserve"> now</w:t>
      </w:r>
      <w:r w:rsidR="004D4FB0" w:rsidRPr="00FB6EEA">
        <w:rPr>
          <w:b/>
          <w:bCs/>
          <w:kern w:val="2"/>
          <w:sz w:val="28"/>
          <w:szCs w:val="28"/>
        </w:rPr>
        <w:t xml:space="preserve"> labeled for smoking?</w:t>
      </w:r>
    </w:p>
    <w:p w14:paraId="6D311A27" w14:textId="77777777" w:rsidR="00E320A6" w:rsidRPr="00FB6EEA" w:rsidRDefault="00E057E0" w:rsidP="001A60A5">
      <w:pPr>
        <w:spacing w:after="60"/>
        <w:rPr>
          <w:kern w:val="2"/>
          <w:sz w:val="22"/>
          <w:szCs w:val="22"/>
        </w:rPr>
      </w:pPr>
      <w:r w:rsidRPr="00FB6EEA">
        <w:rPr>
          <w:kern w:val="2"/>
          <w:sz w:val="22"/>
          <w:szCs w:val="22"/>
        </w:rPr>
        <w:t>Since</w:t>
      </w:r>
      <w:r w:rsidR="00E320A6" w:rsidRPr="00FB6EEA">
        <w:rPr>
          <w:kern w:val="2"/>
          <w:sz w:val="22"/>
          <w:szCs w:val="22"/>
        </w:rPr>
        <w:t xml:space="preserve"> March 2020, Netflix </w:t>
      </w:r>
      <w:r w:rsidRPr="00FB6EEA">
        <w:rPr>
          <w:kern w:val="2"/>
          <w:sz w:val="22"/>
          <w:szCs w:val="22"/>
        </w:rPr>
        <w:t>has added</w:t>
      </w:r>
      <w:r w:rsidR="00E320A6" w:rsidRPr="00FB6EEA">
        <w:rPr>
          <w:kern w:val="2"/>
          <w:sz w:val="22"/>
          <w:szCs w:val="22"/>
        </w:rPr>
        <w:t xml:space="preserve"> “smoking” content notifications</w:t>
      </w:r>
      <w:r w:rsidRPr="00FB6EEA">
        <w:rPr>
          <w:kern w:val="2"/>
          <w:sz w:val="22"/>
          <w:szCs w:val="22"/>
        </w:rPr>
        <w:t xml:space="preserve"> </w:t>
      </w:r>
      <w:r w:rsidR="001A60A5">
        <w:rPr>
          <w:kern w:val="2"/>
          <w:sz w:val="22"/>
          <w:szCs w:val="22"/>
        </w:rPr>
        <w:t>to marketing pages for its</w:t>
      </w:r>
      <w:r w:rsidRPr="00FB6EEA">
        <w:rPr>
          <w:kern w:val="2"/>
          <w:sz w:val="22"/>
          <w:szCs w:val="22"/>
        </w:rPr>
        <w:t xml:space="preserve"> original TV series with tobacco imagery</w:t>
      </w:r>
      <w:r w:rsidR="00452080" w:rsidRPr="00FB6EEA">
        <w:rPr>
          <w:kern w:val="2"/>
          <w:sz w:val="22"/>
          <w:szCs w:val="22"/>
        </w:rPr>
        <w:t xml:space="preserve">. </w:t>
      </w:r>
      <w:r w:rsidRPr="00FB6EEA">
        <w:rPr>
          <w:kern w:val="2"/>
          <w:sz w:val="22"/>
          <w:szCs w:val="22"/>
        </w:rPr>
        <w:t>The notifications can</w:t>
      </w:r>
      <w:r w:rsidR="00452080" w:rsidRPr="00FB6EEA">
        <w:rPr>
          <w:kern w:val="2"/>
          <w:sz w:val="22"/>
          <w:szCs w:val="22"/>
        </w:rPr>
        <w:t xml:space="preserve"> be </w:t>
      </w:r>
      <w:r w:rsidRPr="00FB6EEA">
        <w:rPr>
          <w:kern w:val="2"/>
          <w:sz w:val="22"/>
          <w:szCs w:val="22"/>
        </w:rPr>
        <w:t>seen, in the U.S.,</w:t>
      </w:r>
      <w:r w:rsidR="004D4FB0" w:rsidRPr="00FB6EEA">
        <w:rPr>
          <w:kern w:val="2"/>
          <w:sz w:val="22"/>
          <w:szCs w:val="22"/>
        </w:rPr>
        <w:t xml:space="preserve"> </w:t>
      </w:r>
      <w:r w:rsidRPr="00FB6EEA">
        <w:rPr>
          <w:kern w:val="2"/>
          <w:sz w:val="22"/>
          <w:szCs w:val="22"/>
        </w:rPr>
        <w:t xml:space="preserve">on these shows’ Detail pages </w:t>
      </w:r>
      <w:r w:rsidRPr="001A60A5">
        <w:rPr>
          <w:rFonts w:cs="Times New Roman (Body CS)"/>
          <w:spacing w:val="-2"/>
          <w:kern w:val="2"/>
          <w:sz w:val="22"/>
          <w:szCs w:val="22"/>
        </w:rPr>
        <w:t>and</w:t>
      </w:r>
      <w:r w:rsidR="001A60A5" w:rsidRPr="001A60A5">
        <w:rPr>
          <w:rFonts w:cs="Times New Roman (Body CS)"/>
          <w:spacing w:val="-2"/>
          <w:kern w:val="2"/>
          <w:sz w:val="22"/>
          <w:szCs w:val="22"/>
        </w:rPr>
        <w:t xml:space="preserve"> superposed on the show’s opening,</w:t>
      </w:r>
      <w:r w:rsidRPr="001A60A5">
        <w:rPr>
          <w:rFonts w:cs="Times New Roman (Body CS)"/>
          <w:spacing w:val="-2"/>
          <w:kern w:val="2"/>
          <w:sz w:val="22"/>
          <w:szCs w:val="22"/>
        </w:rPr>
        <w:t xml:space="preserve"> </w:t>
      </w:r>
      <w:r w:rsidR="004D4FB0" w:rsidRPr="001A60A5">
        <w:rPr>
          <w:rFonts w:cs="Times New Roman (Body CS)"/>
          <w:spacing w:val="-2"/>
          <w:kern w:val="2"/>
          <w:sz w:val="22"/>
          <w:szCs w:val="22"/>
        </w:rPr>
        <w:t>after a subscriber has selected a</w:t>
      </w:r>
      <w:r w:rsidR="006E3E3F" w:rsidRPr="001A60A5">
        <w:rPr>
          <w:rFonts w:cs="Times New Roman (Body CS)"/>
          <w:spacing w:val="-2"/>
          <w:kern w:val="2"/>
          <w:sz w:val="22"/>
          <w:szCs w:val="22"/>
        </w:rPr>
        <w:t xml:space="preserve"> TV </w:t>
      </w:r>
      <w:r w:rsidR="004D4FB0" w:rsidRPr="001A60A5">
        <w:rPr>
          <w:rFonts w:cs="Times New Roman (Body CS)"/>
          <w:spacing w:val="-2"/>
          <w:kern w:val="2"/>
          <w:sz w:val="22"/>
          <w:szCs w:val="22"/>
        </w:rPr>
        <w:t>episode</w:t>
      </w:r>
      <w:r w:rsidR="001A60A5" w:rsidRPr="001A60A5">
        <w:rPr>
          <w:rFonts w:cs="Times New Roman (Body CS)"/>
          <w:spacing w:val="-2"/>
          <w:kern w:val="2"/>
          <w:sz w:val="22"/>
          <w:szCs w:val="22"/>
        </w:rPr>
        <w:t xml:space="preserve"> and</w:t>
      </w:r>
      <w:r w:rsidR="004D4FB0" w:rsidRPr="001A60A5">
        <w:rPr>
          <w:rFonts w:cs="Times New Roman (Body CS)"/>
          <w:spacing w:val="-2"/>
          <w:kern w:val="2"/>
          <w:sz w:val="22"/>
          <w:szCs w:val="22"/>
        </w:rPr>
        <w:t xml:space="preserve"> </w:t>
      </w:r>
      <w:r w:rsidR="001A60A5" w:rsidRPr="001A60A5">
        <w:rPr>
          <w:rFonts w:cs="Times New Roman (Body CS)"/>
          <w:spacing w:val="-2"/>
          <w:kern w:val="2"/>
          <w:sz w:val="22"/>
          <w:szCs w:val="22"/>
        </w:rPr>
        <w:t>it</w:t>
      </w:r>
      <w:r w:rsidR="004D4FB0" w:rsidRPr="001A60A5">
        <w:rPr>
          <w:rFonts w:cs="Times New Roman (Body CS)"/>
          <w:spacing w:val="-2"/>
          <w:kern w:val="2"/>
          <w:sz w:val="22"/>
          <w:szCs w:val="22"/>
        </w:rPr>
        <w:t xml:space="preserve"> begins to </w:t>
      </w:r>
      <w:r w:rsidRPr="001A60A5">
        <w:rPr>
          <w:rFonts w:cs="Times New Roman (Body CS)"/>
          <w:spacing w:val="-2"/>
          <w:kern w:val="2"/>
          <w:sz w:val="22"/>
          <w:szCs w:val="22"/>
        </w:rPr>
        <w:t>play</w:t>
      </w:r>
      <w:r w:rsidR="004D4FB0" w:rsidRPr="001A60A5">
        <w:rPr>
          <w:rFonts w:cs="Times New Roman (Body CS)"/>
          <w:spacing w:val="-2"/>
          <w:kern w:val="2"/>
          <w:sz w:val="22"/>
          <w:szCs w:val="22"/>
        </w:rPr>
        <w:t>.</w:t>
      </w:r>
    </w:p>
    <w:p w14:paraId="0FC535B1" w14:textId="77777777" w:rsidR="007C3151" w:rsidRPr="00FB6EEA" w:rsidRDefault="004D4FB0" w:rsidP="00EB05C9">
      <w:pPr>
        <w:spacing w:after="160"/>
        <w:rPr>
          <w:kern w:val="2"/>
          <w:sz w:val="22"/>
          <w:szCs w:val="22"/>
        </w:rPr>
      </w:pPr>
      <w:r w:rsidRPr="00FB6EEA">
        <w:rPr>
          <w:kern w:val="2"/>
          <w:sz w:val="22"/>
          <w:szCs w:val="22"/>
        </w:rPr>
        <w:t>To determine how many of its original</w:t>
      </w:r>
      <w:r w:rsidR="00144D5C" w:rsidRPr="00FB6EEA">
        <w:rPr>
          <w:kern w:val="2"/>
          <w:sz w:val="22"/>
          <w:szCs w:val="22"/>
        </w:rPr>
        <w:t>, scripted</w:t>
      </w:r>
      <w:r w:rsidRPr="00FB6EEA">
        <w:rPr>
          <w:kern w:val="2"/>
          <w:sz w:val="22"/>
          <w:szCs w:val="22"/>
        </w:rPr>
        <w:t xml:space="preserve"> TV series Netflix ha</w:t>
      </w:r>
      <w:r w:rsidR="00452080" w:rsidRPr="00FB6EEA">
        <w:rPr>
          <w:kern w:val="2"/>
          <w:sz w:val="22"/>
          <w:szCs w:val="22"/>
        </w:rPr>
        <w:t>s</w:t>
      </w:r>
      <w:r w:rsidRPr="00FB6EEA">
        <w:rPr>
          <w:kern w:val="2"/>
          <w:sz w:val="22"/>
          <w:szCs w:val="22"/>
        </w:rPr>
        <w:t xml:space="preserve"> labeled, we located a</w:t>
      </w:r>
      <w:r w:rsidR="00144D5C" w:rsidRPr="00FB6EEA">
        <w:rPr>
          <w:kern w:val="2"/>
          <w:sz w:val="22"/>
          <w:szCs w:val="22"/>
        </w:rPr>
        <w:t>n updated</w:t>
      </w:r>
      <w:r w:rsidRPr="00FB6EEA">
        <w:rPr>
          <w:kern w:val="2"/>
          <w:sz w:val="22"/>
          <w:szCs w:val="22"/>
        </w:rPr>
        <w:t xml:space="preserve"> l</w:t>
      </w:r>
      <w:r w:rsidR="007C3151" w:rsidRPr="00FB6EEA">
        <w:rPr>
          <w:kern w:val="2"/>
          <w:sz w:val="22"/>
          <w:szCs w:val="22"/>
        </w:rPr>
        <w:t>i</w:t>
      </w:r>
      <w:r w:rsidRPr="00FB6EEA">
        <w:rPr>
          <w:kern w:val="2"/>
          <w:sz w:val="22"/>
          <w:szCs w:val="22"/>
        </w:rPr>
        <w:t>st of Netflix original series</w:t>
      </w:r>
      <w:r w:rsidR="007C3151" w:rsidRPr="00FB6EEA">
        <w:rPr>
          <w:kern w:val="2"/>
          <w:sz w:val="22"/>
          <w:szCs w:val="22"/>
        </w:rPr>
        <w:t>,</w:t>
      </w:r>
      <w:r w:rsidR="00770A87" w:rsidRPr="00FB6EEA">
        <w:rPr>
          <w:rStyle w:val="FootnoteReference"/>
          <w:kern w:val="2"/>
          <w:sz w:val="22"/>
          <w:szCs w:val="22"/>
        </w:rPr>
        <w:footnoteReference w:id="1"/>
      </w:r>
      <w:r w:rsidR="007C3151" w:rsidRPr="00FB6EEA">
        <w:rPr>
          <w:kern w:val="2"/>
          <w:sz w:val="22"/>
          <w:szCs w:val="22"/>
        </w:rPr>
        <w:t xml:space="preserve"> </w:t>
      </w:r>
      <w:r w:rsidR="007E0C7E" w:rsidRPr="00FB6EEA">
        <w:rPr>
          <w:kern w:val="2"/>
          <w:sz w:val="22"/>
          <w:szCs w:val="22"/>
        </w:rPr>
        <w:t>opened the first episode of</w:t>
      </w:r>
      <w:r w:rsidR="007C3151" w:rsidRPr="00FB6EEA">
        <w:rPr>
          <w:kern w:val="2"/>
          <w:sz w:val="22"/>
          <w:szCs w:val="22"/>
        </w:rPr>
        <w:t xml:space="preserve"> </w:t>
      </w:r>
      <w:r w:rsidR="007C3151" w:rsidRPr="00FB6EEA">
        <w:rPr>
          <w:rFonts w:cs="Times New Roman (Body CS)"/>
          <w:kern w:val="2"/>
          <w:sz w:val="22"/>
          <w:szCs w:val="22"/>
        </w:rPr>
        <w:t>each</w:t>
      </w:r>
      <w:r w:rsidR="00EB0A87" w:rsidRPr="00FB6EEA">
        <w:rPr>
          <w:rFonts w:cs="Times New Roman (Body CS)"/>
          <w:kern w:val="2"/>
          <w:sz w:val="22"/>
          <w:szCs w:val="22"/>
        </w:rPr>
        <w:t xml:space="preserve"> </w:t>
      </w:r>
      <w:r w:rsidR="007C3151" w:rsidRPr="00FB6EEA">
        <w:rPr>
          <w:rFonts w:cs="Times New Roman (Body CS)"/>
          <w:kern w:val="2"/>
          <w:sz w:val="22"/>
          <w:szCs w:val="22"/>
        </w:rPr>
        <w:t xml:space="preserve">show in </w:t>
      </w:r>
      <w:r w:rsidR="00FB6EEA">
        <w:rPr>
          <w:rFonts w:cs="Times New Roman (Body CS)"/>
          <w:kern w:val="2"/>
          <w:sz w:val="22"/>
          <w:szCs w:val="22"/>
        </w:rPr>
        <w:t>Netflix’s desktop</w:t>
      </w:r>
      <w:r w:rsidR="007C3151" w:rsidRPr="00FB6EEA">
        <w:rPr>
          <w:rFonts w:cs="Times New Roman (Body CS)"/>
          <w:kern w:val="2"/>
          <w:sz w:val="22"/>
          <w:szCs w:val="22"/>
        </w:rPr>
        <w:t xml:space="preserve"> application, and noted </w:t>
      </w:r>
      <w:r w:rsidR="004130B4" w:rsidRPr="00FB6EEA">
        <w:rPr>
          <w:rFonts w:cs="Times New Roman (Body CS)"/>
          <w:kern w:val="2"/>
          <w:sz w:val="22"/>
          <w:szCs w:val="22"/>
        </w:rPr>
        <w:t>if</w:t>
      </w:r>
      <w:r w:rsidR="007C3151" w:rsidRPr="00FB6EEA">
        <w:rPr>
          <w:rFonts w:cs="Times New Roman (Body CS)"/>
          <w:kern w:val="2"/>
          <w:sz w:val="22"/>
          <w:szCs w:val="22"/>
        </w:rPr>
        <w:t xml:space="preserve"> </w:t>
      </w:r>
      <w:r w:rsidR="001A60A5">
        <w:rPr>
          <w:kern w:val="2"/>
          <w:sz w:val="22"/>
          <w:szCs w:val="22"/>
        </w:rPr>
        <w:t>its</w:t>
      </w:r>
      <w:r w:rsidR="007C3151" w:rsidRPr="00FB6EEA">
        <w:rPr>
          <w:kern w:val="2"/>
          <w:sz w:val="22"/>
          <w:szCs w:val="22"/>
        </w:rPr>
        <w:t xml:space="preserve"> rating display</w:t>
      </w:r>
      <w:r w:rsidR="001A60A5">
        <w:rPr>
          <w:kern w:val="2"/>
          <w:sz w:val="22"/>
          <w:szCs w:val="22"/>
        </w:rPr>
        <w:t xml:space="preserve"> includes a “smoking” notification</w:t>
      </w:r>
      <w:r w:rsidR="007C3151" w:rsidRPr="00FB6EEA">
        <w:rPr>
          <w:kern w:val="2"/>
          <w:sz w:val="22"/>
          <w:szCs w:val="22"/>
        </w:rPr>
        <w:t xml:space="preserve">. Netflix’s U.S. platform does not </w:t>
      </w:r>
      <w:r w:rsidR="001A60A5">
        <w:rPr>
          <w:kern w:val="2"/>
          <w:sz w:val="22"/>
          <w:szCs w:val="22"/>
        </w:rPr>
        <w:t>appear to</w:t>
      </w:r>
      <w:r w:rsidR="007C3151" w:rsidRPr="00FB6EEA">
        <w:rPr>
          <w:kern w:val="2"/>
          <w:sz w:val="22"/>
          <w:szCs w:val="22"/>
        </w:rPr>
        <w:t xml:space="preserve"> </w:t>
      </w:r>
      <w:r w:rsidR="001A60A5">
        <w:rPr>
          <w:kern w:val="2"/>
          <w:sz w:val="22"/>
          <w:szCs w:val="22"/>
        </w:rPr>
        <w:t>include</w:t>
      </w:r>
      <w:r w:rsidR="007C3151" w:rsidRPr="00FB6EEA">
        <w:rPr>
          <w:kern w:val="2"/>
          <w:sz w:val="22"/>
          <w:szCs w:val="22"/>
        </w:rPr>
        <w:t xml:space="preserve"> notification</w:t>
      </w:r>
      <w:r w:rsidR="00FB6EEA">
        <w:rPr>
          <w:kern w:val="2"/>
          <w:sz w:val="22"/>
          <w:szCs w:val="22"/>
        </w:rPr>
        <w:t>s</w:t>
      </w:r>
      <w:r w:rsidR="007C3151" w:rsidRPr="00FB6EEA">
        <w:rPr>
          <w:kern w:val="2"/>
          <w:sz w:val="22"/>
          <w:szCs w:val="22"/>
        </w:rPr>
        <w:t xml:space="preserve"> </w:t>
      </w:r>
      <w:r w:rsidR="00144D5C" w:rsidRPr="00FB6EEA">
        <w:rPr>
          <w:kern w:val="2"/>
          <w:sz w:val="22"/>
          <w:szCs w:val="22"/>
        </w:rPr>
        <w:t xml:space="preserve">on </w:t>
      </w:r>
      <w:r w:rsidR="00E057E0" w:rsidRPr="00FB6EEA">
        <w:rPr>
          <w:kern w:val="2"/>
          <w:sz w:val="22"/>
          <w:szCs w:val="22"/>
        </w:rPr>
        <w:t>pages</w:t>
      </w:r>
      <w:r w:rsidR="007E0C7E" w:rsidRPr="00FB6EEA">
        <w:rPr>
          <w:kern w:val="2"/>
          <w:sz w:val="22"/>
          <w:szCs w:val="22"/>
        </w:rPr>
        <w:t xml:space="preserve"> </w:t>
      </w:r>
      <w:r w:rsidR="00144D5C" w:rsidRPr="00FB6EEA">
        <w:rPr>
          <w:kern w:val="2"/>
          <w:sz w:val="22"/>
          <w:szCs w:val="22"/>
        </w:rPr>
        <w:t xml:space="preserve">related to </w:t>
      </w:r>
      <w:r w:rsidR="00EB0A87" w:rsidRPr="00FB6EEA">
        <w:rPr>
          <w:i/>
          <w:iCs/>
          <w:kern w:val="2"/>
          <w:sz w:val="22"/>
          <w:szCs w:val="22"/>
        </w:rPr>
        <w:t>non-original</w:t>
      </w:r>
      <w:r w:rsidR="00EB0A87" w:rsidRPr="00FB6EEA">
        <w:rPr>
          <w:kern w:val="2"/>
          <w:sz w:val="22"/>
          <w:szCs w:val="22"/>
        </w:rPr>
        <w:t xml:space="preserve"> TV series</w:t>
      </w:r>
      <w:r w:rsidR="007E0C7E" w:rsidRPr="00FB6EEA">
        <w:rPr>
          <w:kern w:val="2"/>
          <w:sz w:val="22"/>
          <w:szCs w:val="22"/>
        </w:rPr>
        <w:t xml:space="preserve"> no</w:t>
      </w:r>
      <w:r w:rsidR="004130B4" w:rsidRPr="00FB6EEA">
        <w:rPr>
          <w:kern w:val="2"/>
          <w:sz w:val="22"/>
          <w:szCs w:val="22"/>
        </w:rPr>
        <w:t>r</w:t>
      </w:r>
      <w:r w:rsidR="007E0C7E" w:rsidRPr="00FB6EEA">
        <w:rPr>
          <w:kern w:val="2"/>
          <w:sz w:val="22"/>
          <w:szCs w:val="22"/>
        </w:rPr>
        <w:t xml:space="preserve"> </w:t>
      </w:r>
      <w:r w:rsidR="00144D5C" w:rsidRPr="00FB6EEA">
        <w:rPr>
          <w:kern w:val="2"/>
          <w:sz w:val="22"/>
          <w:szCs w:val="22"/>
        </w:rPr>
        <w:t>on pages related</w:t>
      </w:r>
      <w:r w:rsidR="00EB0A87" w:rsidRPr="00FB6EEA">
        <w:rPr>
          <w:kern w:val="2"/>
          <w:sz w:val="22"/>
          <w:szCs w:val="22"/>
        </w:rPr>
        <w:t xml:space="preserve"> </w:t>
      </w:r>
      <w:r w:rsidR="00144D5C" w:rsidRPr="00FB6EEA">
        <w:rPr>
          <w:kern w:val="2"/>
          <w:sz w:val="22"/>
          <w:szCs w:val="22"/>
        </w:rPr>
        <w:t xml:space="preserve">to </w:t>
      </w:r>
      <w:r w:rsidR="00FB6EEA">
        <w:rPr>
          <w:kern w:val="2"/>
          <w:sz w:val="22"/>
          <w:szCs w:val="22"/>
        </w:rPr>
        <w:t xml:space="preserve">feature </w:t>
      </w:r>
      <w:r w:rsidR="004130B4" w:rsidRPr="00FB6EEA">
        <w:rPr>
          <w:kern w:val="2"/>
          <w:sz w:val="22"/>
          <w:szCs w:val="22"/>
        </w:rPr>
        <w:t>films</w:t>
      </w:r>
      <w:r w:rsidR="00EB0A87" w:rsidRPr="00FB6EEA">
        <w:rPr>
          <w:kern w:val="2"/>
          <w:sz w:val="22"/>
          <w:szCs w:val="22"/>
        </w:rPr>
        <w:t xml:space="preserve"> with smoking</w:t>
      </w:r>
      <w:r w:rsidR="007E0C7E" w:rsidRPr="00FB6EEA">
        <w:rPr>
          <w:kern w:val="2"/>
          <w:sz w:val="22"/>
          <w:szCs w:val="22"/>
        </w:rPr>
        <w:t>, except</w:t>
      </w:r>
      <w:r w:rsidR="00E057E0" w:rsidRPr="00FB6EEA">
        <w:rPr>
          <w:kern w:val="2"/>
          <w:sz w:val="22"/>
          <w:szCs w:val="22"/>
        </w:rPr>
        <w:t xml:space="preserve"> for</w:t>
      </w:r>
      <w:r w:rsidR="007E0C7E" w:rsidRPr="00FB6EEA">
        <w:rPr>
          <w:kern w:val="2"/>
          <w:sz w:val="22"/>
          <w:szCs w:val="22"/>
        </w:rPr>
        <w:t xml:space="preserve"> </w:t>
      </w:r>
      <w:r w:rsidR="001A60A5">
        <w:rPr>
          <w:kern w:val="2"/>
          <w:sz w:val="22"/>
          <w:szCs w:val="22"/>
        </w:rPr>
        <w:t>the</w:t>
      </w:r>
      <w:r w:rsidR="007E0C7E" w:rsidRPr="00FB6EEA">
        <w:rPr>
          <w:kern w:val="2"/>
          <w:sz w:val="22"/>
          <w:szCs w:val="22"/>
        </w:rPr>
        <w:t xml:space="preserve"> </w:t>
      </w:r>
      <w:r w:rsidR="00E057E0" w:rsidRPr="00FB6EEA">
        <w:rPr>
          <w:kern w:val="2"/>
          <w:sz w:val="22"/>
          <w:szCs w:val="22"/>
        </w:rPr>
        <w:t xml:space="preserve">small </w:t>
      </w:r>
      <w:r w:rsidR="007E0C7E" w:rsidRPr="00FB6EEA">
        <w:rPr>
          <w:kern w:val="2"/>
          <w:sz w:val="22"/>
          <w:szCs w:val="22"/>
        </w:rPr>
        <w:t>fraction</w:t>
      </w:r>
      <w:r w:rsidR="00144D5C" w:rsidRPr="00FB6EEA">
        <w:rPr>
          <w:kern w:val="2"/>
          <w:sz w:val="22"/>
          <w:szCs w:val="22"/>
        </w:rPr>
        <w:t xml:space="preserve"> of </w:t>
      </w:r>
      <w:r w:rsidR="00D6349E">
        <w:rPr>
          <w:kern w:val="2"/>
          <w:sz w:val="22"/>
          <w:szCs w:val="22"/>
        </w:rPr>
        <w:t xml:space="preserve">smoking </w:t>
      </w:r>
      <w:r w:rsidR="00144D5C" w:rsidRPr="00FB6EEA">
        <w:rPr>
          <w:kern w:val="2"/>
          <w:sz w:val="22"/>
          <w:szCs w:val="22"/>
        </w:rPr>
        <w:t>films</w:t>
      </w:r>
      <w:r w:rsidR="007E0C7E" w:rsidRPr="00FB6EEA">
        <w:rPr>
          <w:kern w:val="2"/>
          <w:sz w:val="22"/>
          <w:szCs w:val="22"/>
        </w:rPr>
        <w:t xml:space="preserve"> </w:t>
      </w:r>
      <w:r w:rsidR="00D6349E">
        <w:rPr>
          <w:kern w:val="2"/>
          <w:sz w:val="22"/>
          <w:szCs w:val="22"/>
        </w:rPr>
        <w:t>with</w:t>
      </w:r>
      <w:r w:rsidR="007E0C7E" w:rsidRPr="00FB6EEA">
        <w:rPr>
          <w:kern w:val="2"/>
          <w:sz w:val="22"/>
          <w:szCs w:val="22"/>
        </w:rPr>
        <w:t xml:space="preserve"> a “smoking” descriptor in their Motion Picture Association ratings</w:t>
      </w:r>
      <w:r w:rsidR="007C3151" w:rsidRPr="00FB6EEA">
        <w:rPr>
          <w:kern w:val="2"/>
          <w:sz w:val="22"/>
          <w:szCs w:val="22"/>
        </w:rPr>
        <w:t>.</w:t>
      </w:r>
      <w:r w:rsidRPr="00FB6EEA">
        <w:rPr>
          <w:kern w:val="2"/>
          <w:sz w:val="22"/>
          <w:szCs w:val="22"/>
        </w:rPr>
        <w:t xml:space="preserve"> </w:t>
      </w:r>
      <w:r w:rsidR="00FB6EEA" w:rsidRPr="00FB6EEA">
        <w:rPr>
          <w:kern w:val="2"/>
          <w:sz w:val="22"/>
          <w:szCs w:val="22"/>
        </w:rPr>
        <w:t>R</w:t>
      </w:r>
      <w:r w:rsidR="00144D5C" w:rsidRPr="00FB6EEA">
        <w:rPr>
          <w:kern w:val="2"/>
          <w:sz w:val="22"/>
          <w:szCs w:val="22"/>
        </w:rPr>
        <w:t xml:space="preserve">esults of our </w:t>
      </w:r>
      <w:r w:rsidR="00E057E0" w:rsidRPr="00FB6EEA">
        <w:rPr>
          <w:kern w:val="2"/>
          <w:sz w:val="22"/>
          <w:szCs w:val="22"/>
        </w:rPr>
        <w:t>survey of original, scripted series</w:t>
      </w:r>
      <w:r w:rsidR="00144D5C" w:rsidRPr="00FB6EEA">
        <w:rPr>
          <w:kern w:val="2"/>
          <w:sz w:val="22"/>
          <w:szCs w:val="22"/>
        </w:rPr>
        <w:t xml:space="preserve"> are</w:t>
      </w:r>
      <w:r w:rsidR="00FB6EEA" w:rsidRPr="00FB6EEA">
        <w:rPr>
          <w:kern w:val="2"/>
          <w:sz w:val="22"/>
          <w:szCs w:val="22"/>
        </w:rPr>
        <w:t xml:space="preserve"> summarized</w:t>
      </w:r>
      <w:r w:rsidR="00144D5C" w:rsidRPr="00FB6EEA">
        <w:rPr>
          <w:kern w:val="2"/>
          <w:sz w:val="22"/>
          <w:szCs w:val="22"/>
        </w:rPr>
        <w:t xml:space="preserve"> in </w:t>
      </w:r>
      <w:r w:rsidR="00D6349E">
        <w:rPr>
          <w:kern w:val="2"/>
          <w:sz w:val="22"/>
          <w:szCs w:val="22"/>
        </w:rPr>
        <w:t>the table</w:t>
      </w:r>
      <w:r w:rsidR="00144D5C" w:rsidRPr="00FB6EEA">
        <w:rPr>
          <w:kern w:val="2"/>
          <w:sz w:val="22"/>
          <w:szCs w:val="22"/>
        </w:rPr>
        <w:t>.</w:t>
      </w:r>
    </w:p>
    <w:tbl>
      <w:tblPr>
        <w:tblW w:w="9201" w:type="dxa"/>
        <w:tblLook w:val="04A0" w:firstRow="1" w:lastRow="0" w:firstColumn="1" w:lastColumn="0" w:noHBand="0" w:noVBand="1"/>
      </w:tblPr>
      <w:tblGrid>
        <w:gridCol w:w="905"/>
        <w:gridCol w:w="1450"/>
        <w:gridCol w:w="1385"/>
        <w:gridCol w:w="1288"/>
        <w:gridCol w:w="1500"/>
        <w:gridCol w:w="1385"/>
        <w:gridCol w:w="1288"/>
      </w:tblGrid>
      <w:tr w:rsidR="007C3151" w:rsidRPr="00E320A6" w14:paraId="539DCA83" w14:textId="77777777" w:rsidTr="00BE0EA7">
        <w:trPr>
          <w:trHeight w:val="459"/>
        </w:trPr>
        <w:tc>
          <w:tcPr>
            <w:tcW w:w="9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993F4" w14:textId="77777777" w:rsidR="007C3151" w:rsidRPr="00E320A6" w:rsidRDefault="001A60A5" w:rsidP="009D6473">
            <w:pPr>
              <w:ind w:firstLineChars="100" w:firstLine="281"/>
              <w:rPr>
                <w:rFonts w:eastAsia="Times New Roman" w:cs="Times New Roman"/>
                <w:b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"/>
                <w:sz w:val="26"/>
                <w:szCs w:val="26"/>
              </w:rPr>
              <w:t>TABLE</w:t>
            </w:r>
            <w:r w:rsidR="007C3151" w:rsidRPr="00FB6EEA">
              <w:rPr>
                <w:rFonts w:eastAsia="Times New Roman" w:cs="Times New Roman"/>
                <w:b/>
                <w:bCs/>
                <w:color w:val="000000"/>
                <w:kern w:val="2"/>
                <w:sz w:val="26"/>
                <w:szCs w:val="26"/>
              </w:rPr>
              <w:t xml:space="preserve"> |</w:t>
            </w:r>
            <w:r w:rsidR="007C3151" w:rsidRPr="00FB6EEA">
              <w:rPr>
                <w:rFonts w:eastAsia="Times New Roman" w:cs="Times New Roman"/>
                <w:b/>
                <w:bCs/>
                <w:color w:val="000000"/>
                <w:kern w:val="2"/>
                <w:sz w:val="30"/>
                <w:szCs w:val="30"/>
              </w:rPr>
              <w:t xml:space="preserve"> </w:t>
            </w:r>
            <w:r w:rsidR="007C3151" w:rsidRPr="00E320A6">
              <w:rPr>
                <w:rFonts w:eastAsia="Times New Roman" w:cs="Times New Roman"/>
                <w:color w:val="000000"/>
                <w:kern w:val="2"/>
                <w:sz w:val="26"/>
                <w:szCs w:val="26"/>
              </w:rPr>
              <w:t>Smoking labels on Netflix original scripted content, 2012-March 2020</w:t>
            </w:r>
          </w:p>
        </w:tc>
      </w:tr>
      <w:tr w:rsidR="007C3151" w:rsidRPr="00E320A6" w14:paraId="6FE693CC" w14:textId="77777777" w:rsidTr="00BE0EA7">
        <w:trPr>
          <w:trHeight w:val="25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ED961" w14:textId="77777777" w:rsidR="007C3151" w:rsidRPr="00E320A6" w:rsidRDefault="007C3151" w:rsidP="006E3E3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65D9E" w14:textId="77777777" w:rsidR="007C3151" w:rsidRPr="00E320A6" w:rsidRDefault="007C3151" w:rsidP="006E3E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SERIES in ALL LANGUAGES</w:t>
            </w:r>
          </w:p>
        </w:tc>
        <w:tc>
          <w:tcPr>
            <w:tcW w:w="4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24824" w14:textId="77777777" w:rsidR="007C3151" w:rsidRPr="00E320A6" w:rsidRDefault="007C3151" w:rsidP="006E3E3F">
            <w:pPr>
              <w:ind w:firstLineChars="300" w:firstLine="630"/>
              <w:rPr>
                <w:rFonts w:ascii="Calibri" w:eastAsia="Times New Roman" w:hAnsi="Calibri" w:cs="Times New Roman"/>
                <w:i/>
                <w:iCs/>
                <w:color w:val="808080"/>
                <w:sz w:val="21"/>
                <w:szCs w:val="21"/>
              </w:rPr>
            </w:pPr>
          </w:p>
        </w:tc>
      </w:tr>
      <w:tr w:rsidR="007C3151" w:rsidRPr="00E320A6" w14:paraId="21560ED8" w14:textId="77777777" w:rsidTr="00BE0EA7">
        <w:trPr>
          <w:trHeight w:val="25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0E9B9" w14:textId="77777777" w:rsidR="007C3151" w:rsidRPr="00E320A6" w:rsidRDefault="007C3151" w:rsidP="006E3E3F">
            <w:pPr>
              <w:ind w:firstLineChars="300" w:firstLine="630"/>
              <w:rPr>
                <w:rFonts w:ascii="Calibri" w:eastAsia="Times New Roman" w:hAnsi="Calibri" w:cs="Times New Roman"/>
                <w:i/>
                <w:iCs/>
                <w:color w:val="808080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D35EB6" w14:textId="77777777" w:rsidR="007C3151" w:rsidRPr="00E320A6" w:rsidRDefault="007C3151" w:rsidP="009D6473">
            <w:pPr>
              <w:ind w:firstLineChars="100" w:firstLine="227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Series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E5335F" w14:textId="77777777" w:rsidR="007C3151" w:rsidRPr="00E320A6" w:rsidRDefault="007C3151" w:rsidP="009D6473">
            <w:pPr>
              <w:ind w:firstLineChars="100" w:firstLine="227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Smoking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F0B9C1" w14:textId="77777777" w:rsidR="007C3151" w:rsidRPr="00E320A6" w:rsidRDefault="007C3151" w:rsidP="009D6473">
            <w:pPr>
              <w:ind w:firstLineChars="100" w:firstLine="227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Percent</w:t>
            </w:r>
          </w:p>
        </w:tc>
        <w:tc>
          <w:tcPr>
            <w:tcW w:w="4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2C681" w14:textId="77777777" w:rsidR="007C3151" w:rsidRPr="00E320A6" w:rsidRDefault="007C3151" w:rsidP="006E3E3F">
            <w:pPr>
              <w:ind w:firstLineChars="300" w:firstLine="630"/>
              <w:rPr>
                <w:rFonts w:ascii="Calibri" w:eastAsia="Times New Roman" w:hAnsi="Calibri" w:cs="Times New Roman"/>
                <w:i/>
                <w:iCs/>
                <w:color w:val="808080"/>
                <w:sz w:val="21"/>
                <w:szCs w:val="21"/>
              </w:rPr>
            </w:pPr>
          </w:p>
        </w:tc>
      </w:tr>
      <w:tr w:rsidR="006E3E3F" w:rsidRPr="00E320A6" w14:paraId="1EF5F242" w14:textId="77777777" w:rsidTr="00BE0EA7">
        <w:trPr>
          <w:trHeight w:val="25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43A7C" w14:textId="77777777" w:rsidR="007C3151" w:rsidRPr="00E320A6" w:rsidRDefault="007C3151" w:rsidP="009D6473">
            <w:pPr>
              <w:ind w:firstLineChars="100" w:firstLine="227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Kids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4C4B094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8B6F3DC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DB60D72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7%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EB60B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A7F7C" w14:textId="77777777" w:rsidR="007C3151" w:rsidRPr="00E320A6" w:rsidRDefault="007C3151" w:rsidP="006E3E3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9C0CA" w14:textId="77777777" w:rsidR="007C3151" w:rsidRPr="00E320A6" w:rsidRDefault="007C3151" w:rsidP="006E3E3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E3E3F" w:rsidRPr="00E320A6" w14:paraId="0C4D9034" w14:textId="77777777" w:rsidTr="00BE0EA7">
        <w:trPr>
          <w:trHeight w:val="25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B7E87" w14:textId="77777777" w:rsidR="007C3151" w:rsidRPr="00E320A6" w:rsidRDefault="007C3151" w:rsidP="009D6473">
            <w:pPr>
              <w:ind w:firstLineChars="100" w:firstLine="227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Teen</w:t>
            </w:r>
          </w:p>
        </w:tc>
        <w:tc>
          <w:tcPr>
            <w:tcW w:w="145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hideMark/>
          </w:tcPr>
          <w:p w14:paraId="3D11F5DB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38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hideMark/>
          </w:tcPr>
          <w:p w14:paraId="7511B337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28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hideMark/>
          </w:tcPr>
          <w:p w14:paraId="43152AF5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55%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DDB16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AABE9" w14:textId="77777777" w:rsidR="007C3151" w:rsidRPr="00E320A6" w:rsidRDefault="007C3151" w:rsidP="006E3E3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21070" w14:textId="77777777" w:rsidR="007C3151" w:rsidRPr="00E320A6" w:rsidRDefault="007C3151" w:rsidP="006E3E3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E3E3F" w:rsidRPr="00E320A6" w14:paraId="5D042B44" w14:textId="77777777" w:rsidTr="00BE0EA7">
        <w:trPr>
          <w:trHeight w:val="25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1C381" w14:textId="77777777" w:rsidR="007C3151" w:rsidRPr="00E320A6" w:rsidRDefault="007C3151" w:rsidP="009D6473">
            <w:pPr>
              <w:ind w:firstLineChars="100" w:firstLine="227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Adult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6D5F092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226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87B0088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163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1D04609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72%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B9EF0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D2498" w14:textId="77777777" w:rsidR="007C3151" w:rsidRPr="00E320A6" w:rsidRDefault="007C3151" w:rsidP="006E3E3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1B907" w14:textId="77777777" w:rsidR="007C3151" w:rsidRPr="00E320A6" w:rsidRDefault="007C3151" w:rsidP="006E3E3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E3E3F" w:rsidRPr="00E320A6" w14:paraId="782D727E" w14:textId="77777777" w:rsidTr="00BE0EA7">
        <w:trPr>
          <w:trHeight w:val="25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CB4DC" w14:textId="77777777" w:rsidR="007C3151" w:rsidRPr="00E320A6" w:rsidRDefault="007C3151" w:rsidP="006E3E3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hideMark/>
          </w:tcPr>
          <w:p w14:paraId="10B317A5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386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hideMark/>
          </w:tcPr>
          <w:p w14:paraId="419EBF80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193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hideMark/>
          </w:tcPr>
          <w:p w14:paraId="022571F0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50%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0AEE5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27590" w14:textId="77777777" w:rsidR="007C3151" w:rsidRPr="00E320A6" w:rsidRDefault="007C3151" w:rsidP="006E3E3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4F525" w14:textId="77777777" w:rsidR="007C3151" w:rsidRPr="00E320A6" w:rsidRDefault="007C3151" w:rsidP="006E3E3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C3151" w:rsidRPr="00E320A6" w14:paraId="0FA2CFAC" w14:textId="77777777" w:rsidTr="00BE0EA7">
        <w:trPr>
          <w:trHeight w:val="171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E34C1" w14:textId="77777777" w:rsidR="007C3151" w:rsidRPr="00E320A6" w:rsidRDefault="007C3151" w:rsidP="006E3E3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A6FA9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A6BEE" w14:textId="77777777" w:rsidR="007C3151" w:rsidRPr="00E320A6" w:rsidRDefault="007C3151" w:rsidP="006E3E3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B6985" w14:textId="77777777" w:rsidR="007C3151" w:rsidRPr="00E320A6" w:rsidRDefault="007C3151" w:rsidP="006E3E3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BE80F" w14:textId="77777777" w:rsidR="007C3151" w:rsidRPr="00E320A6" w:rsidRDefault="007C3151" w:rsidP="006E3E3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271FF" w14:textId="77777777" w:rsidR="007C3151" w:rsidRPr="00E320A6" w:rsidRDefault="007C3151" w:rsidP="006E3E3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C28B7" w14:textId="77777777" w:rsidR="007C3151" w:rsidRPr="00E320A6" w:rsidRDefault="007C3151" w:rsidP="006E3E3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C3151" w:rsidRPr="00E320A6" w14:paraId="2DBD610E" w14:textId="77777777" w:rsidTr="00BE0EA7">
        <w:trPr>
          <w:trHeight w:val="25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5AF21" w14:textId="77777777" w:rsidR="007C3151" w:rsidRPr="00E320A6" w:rsidRDefault="007C3151" w:rsidP="006E3E3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C874B" w14:textId="77777777" w:rsidR="007C3151" w:rsidRPr="00E320A6" w:rsidRDefault="007C3151" w:rsidP="009D6473">
            <w:pPr>
              <w:ind w:firstLineChars="100" w:firstLine="227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ENGLISH LANGUAGE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EF6EC" w14:textId="77777777" w:rsidR="007C3151" w:rsidRPr="00E320A6" w:rsidRDefault="007C3151" w:rsidP="009D6473">
            <w:pPr>
              <w:ind w:firstLineChars="100" w:firstLine="227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3C227" w14:textId="77777777" w:rsidR="007C3151" w:rsidRPr="00E320A6" w:rsidRDefault="007C3151" w:rsidP="009D6473">
            <w:pPr>
              <w:ind w:firstLineChars="100" w:firstLine="227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OTHER LANGUAGES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C4D46" w14:textId="77777777" w:rsidR="007C3151" w:rsidRPr="00E320A6" w:rsidRDefault="007C3151" w:rsidP="009D6473">
            <w:pPr>
              <w:ind w:firstLineChars="100" w:firstLine="227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7C3151" w:rsidRPr="00E320A6" w14:paraId="4D2A3774" w14:textId="77777777" w:rsidTr="00BE0EA7">
        <w:trPr>
          <w:trHeight w:val="25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11BD8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D60B6E" w14:textId="77777777" w:rsidR="007C3151" w:rsidRPr="00E320A6" w:rsidRDefault="007C3151" w:rsidP="009D6473">
            <w:pPr>
              <w:ind w:firstLineChars="100" w:firstLine="227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Series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814C42" w14:textId="77777777" w:rsidR="007C3151" w:rsidRPr="00E320A6" w:rsidRDefault="007C3151" w:rsidP="009D6473">
            <w:pPr>
              <w:ind w:firstLineChars="100" w:firstLine="227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Smoking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575CE4" w14:textId="77777777" w:rsidR="007C3151" w:rsidRPr="00E320A6" w:rsidRDefault="007C3151" w:rsidP="009D6473">
            <w:pPr>
              <w:ind w:firstLineChars="100" w:firstLine="227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Percent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3534C" w14:textId="77777777" w:rsidR="007C3151" w:rsidRPr="00E320A6" w:rsidRDefault="007C3151" w:rsidP="009D6473">
            <w:pPr>
              <w:ind w:firstLineChars="100" w:firstLine="227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Series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EF547E" w14:textId="77777777" w:rsidR="007C3151" w:rsidRPr="00E320A6" w:rsidRDefault="007C3151" w:rsidP="009D6473">
            <w:pPr>
              <w:ind w:firstLineChars="100" w:firstLine="227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Smoking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891CFE" w14:textId="77777777" w:rsidR="007C3151" w:rsidRPr="00E320A6" w:rsidRDefault="007C3151" w:rsidP="009D6473">
            <w:pPr>
              <w:ind w:firstLineChars="100" w:firstLine="227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Percent</w:t>
            </w:r>
          </w:p>
        </w:tc>
      </w:tr>
      <w:tr w:rsidR="007C3151" w:rsidRPr="004D4FB0" w14:paraId="04C15884" w14:textId="77777777" w:rsidTr="00BE0EA7">
        <w:trPr>
          <w:trHeight w:val="25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E4EA8" w14:textId="77777777" w:rsidR="007C3151" w:rsidRPr="00E320A6" w:rsidRDefault="007C3151" w:rsidP="009D6473">
            <w:pPr>
              <w:ind w:firstLineChars="100" w:firstLine="227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Kids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F3C63FD" w14:textId="77777777" w:rsidR="007C3151" w:rsidRPr="00E320A6" w:rsidRDefault="00BE0EA7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AD4BC67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E4C6694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4080737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309C5CF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8F687B7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25%</w:t>
            </w:r>
          </w:p>
        </w:tc>
      </w:tr>
      <w:tr w:rsidR="007C3151" w:rsidRPr="004D4FB0" w14:paraId="5E972588" w14:textId="77777777" w:rsidTr="00BE0EA7">
        <w:trPr>
          <w:trHeight w:val="25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D7C0D" w14:textId="77777777" w:rsidR="007C3151" w:rsidRPr="00E320A6" w:rsidRDefault="007C3151" w:rsidP="009D6473">
            <w:pPr>
              <w:ind w:firstLineChars="100" w:firstLine="227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Teen</w:t>
            </w:r>
          </w:p>
        </w:tc>
        <w:tc>
          <w:tcPr>
            <w:tcW w:w="145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hideMark/>
          </w:tcPr>
          <w:p w14:paraId="6B3CA5C2" w14:textId="77777777" w:rsidR="007C3151" w:rsidRPr="00E320A6" w:rsidRDefault="00BE0EA7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38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hideMark/>
          </w:tcPr>
          <w:p w14:paraId="10AFF5AC" w14:textId="77777777" w:rsidR="007C3151" w:rsidRPr="00E320A6" w:rsidRDefault="00BE0EA7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28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hideMark/>
          </w:tcPr>
          <w:p w14:paraId="49707411" w14:textId="77777777" w:rsidR="007C3151" w:rsidRPr="00E320A6" w:rsidRDefault="00BE0EA7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61</w:t>
            </w:r>
            <w:r w:rsidR="007C3151" w:rsidRPr="00E320A6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nil"/>
            </w:tcBorders>
            <w:shd w:val="clear" w:color="000000" w:fill="F2F2F2"/>
            <w:noWrap/>
            <w:hideMark/>
          </w:tcPr>
          <w:p w14:paraId="7A218CEF" w14:textId="77777777" w:rsidR="007C3151" w:rsidRPr="00E320A6" w:rsidRDefault="00BE0EA7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8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hideMark/>
          </w:tcPr>
          <w:p w14:paraId="7428A814" w14:textId="77777777" w:rsidR="007C3151" w:rsidRPr="00E320A6" w:rsidRDefault="00BE0EA7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hideMark/>
          </w:tcPr>
          <w:p w14:paraId="56C4FFD3" w14:textId="77777777" w:rsidR="007C3151" w:rsidRPr="00E320A6" w:rsidRDefault="00BE0EA7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42</w:t>
            </w:r>
            <w:r w:rsidR="007C3151" w:rsidRPr="00E320A6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%</w:t>
            </w:r>
          </w:p>
        </w:tc>
      </w:tr>
      <w:tr w:rsidR="007C3151" w:rsidRPr="004D4FB0" w14:paraId="7BB68771" w14:textId="77777777" w:rsidTr="00BE0EA7">
        <w:trPr>
          <w:trHeight w:val="25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7B11D" w14:textId="77777777" w:rsidR="007C3151" w:rsidRPr="00E320A6" w:rsidRDefault="007C3151" w:rsidP="009D6473">
            <w:pPr>
              <w:ind w:firstLineChars="100" w:firstLine="227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Adult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BA29627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</w:t>
            </w:r>
            <w:r w:rsidR="00BE0EA7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767303C" w14:textId="77777777" w:rsidR="007C3151" w:rsidRPr="00E320A6" w:rsidRDefault="00BE0EA7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CB22E03" w14:textId="77777777" w:rsidR="007C3151" w:rsidRPr="00E320A6" w:rsidRDefault="00BE0EA7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63</w:t>
            </w:r>
            <w:r w:rsidR="007C3151" w:rsidRPr="00E320A6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A9BF61D" w14:textId="77777777" w:rsidR="007C3151" w:rsidRPr="00E320A6" w:rsidRDefault="00BE0EA7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C3DAC3F" w14:textId="77777777" w:rsidR="007C3151" w:rsidRPr="00E320A6" w:rsidRDefault="00BE0EA7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505D482" w14:textId="77777777" w:rsidR="007C3151" w:rsidRPr="00E320A6" w:rsidRDefault="00BE0EA7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83</w:t>
            </w:r>
            <w:r w:rsidR="007C3151" w:rsidRPr="00E320A6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%</w:t>
            </w:r>
          </w:p>
        </w:tc>
      </w:tr>
      <w:tr w:rsidR="007C3151" w:rsidRPr="004D4FB0" w14:paraId="169BDF20" w14:textId="77777777" w:rsidTr="00BE0EA7">
        <w:trPr>
          <w:trHeight w:val="25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702F2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hideMark/>
          </w:tcPr>
          <w:p w14:paraId="04B8D25D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2</w:t>
            </w:r>
            <w:r w:rsidR="00BE0EA7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hideMark/>
          </w:tcPr>
          <w:p w14:paraId="416AE219" w14:textId="77777777" w:rsidR="007C3151" w:rsidRPr="00E320A6" w:rsidRDefault="00BE0EA7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104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hideMark/>
          </w:tcPr>
          <w:p w14:paraId="3C70A848" w14:textId="77777777" w:rsidR="007C3151" w:rsidRPr="00E320A6" w:rsidRDefault="00BE0EA7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39</w:t>
            </w:r>
            <w:r w:rsidR="007C3151" w:rsidRPr="00E320A6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%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57171"/>
            <w:noWrap/>
            <w:hideMark/>
          </w:tcPr>
          <w:p w14:paraId="48F4ABC5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</w:pPr>
            <w:r w:rsidRPr="00E320A6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1</w:t>
            </w:r>
            <w:r w:rsidR="00BE0EA7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hideMark/>
          </w:tcPr>
          <w:p w14:paraId="6D6E87B2" w14:textId="77777777" w:rsidR="007C3151" w:rsidRPr="00E320A6" w:rsidRDefault="00BE0EA7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89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hideMark/>
          </w:tcPr>
          <w:p w14:paraId="44589D6B" w14:textId="77777777" w:rsidR="007C3151" w:rsidRPr="00E320A6" w:rsidRDefault="00BE0EA7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77</w:t>
            </w:r>
            <w:r w:rsidR="007C3151" w:rsidRPr="00E320A6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%</w:t>
            </w:r>
          </w:p>
        </w:tc>
      </w:tr>
      <w:tr w:rsidR="007C3151" w:rsidRPr="00E320A6" w14:paraId="7CB106C1" w14:textId="77777777" w:rsidTr="00BE0EA7">
        <w:trPr>
          <w:trHeight w:val="18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B8C83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A7F24" w14:textId="77777777" w:rsidR="007C3151" w:rsidRPr="00E320A6" w:rsidRDefault="007C3151" w:rsidP="006E3E3F">
            <w:pPr>
              <w:ind w:firstLineChars="100" w:firstLine="21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C642A" w14:textId="77777777" w:rsidR="007C3151" w:rsidRPr="00E320A6" w:rsidRDefault="007C3151" w:rsidP="006E3E3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B8229" w14:textId="77777777" w:rsidR="007C3151" w:rsidRPr="00E320A6" w:rsidRDefault="007C3151" w:rsidP="006E3E3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D561C" w14:textId="77777777" w:rsidR="007C3151" w:rsidRPr="00E320A6" w:rsidRDefault="007C3151" w:rsidP="006E3E3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D2346" w14:textId="77777777" w:rsidR="007C3151" w:rsidRPr="00E320A6" w:rsidRDefault="007C3151" w:rsidP="006E3E3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F09A0" w14:textId="77777777" w:rsidR="007C3151" w:rsidRPr="00E320A6" w:rsidRDefault="007C3151" w:rsidP="006E3E3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C3151" w:rsidRPr="00E320A6" w14:paraId="274B6F06" w14:textId="77777777" w:rsidTr="00BE0EA7">
        <w:trPr>
          <w:trHeight w:val="2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D0CD4" w14:textId="77777777" w:rsidR="007C3151" w:rsidRPr="00E320A6" w:rsidRDefault="007C3151" w:rsidP="006E3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1FE74" w14:textId="77777777" w:rsidR="007C3151" w:rsidRPr="00E320A6" w:rsidRDefault="007C3151" w:rsidP="006E3E3F">
            <w:pPr>
              <w:ind w:left="-3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20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NOTE: Netflix maturity ratings’ relationship to (U.S.) TV Parental Guidelines: Netflix "Kids" — TV-Y/ TV-Y7/TV-</w:t>
            </w:r>
            <w:r w:rsidRPr="00E320A6">
              <w:rPr>
                <w:rFonts w:ascii="Calibri" w:eastAsia="Times New Roman" w:hAnsi="Calibri" w:cs="Times New Roman"/>
                <w:color w:val="000000"/>
                <w:spacing w:val="-2"/>
                <w:sz w:val="18"/>
                <w:szCs w:val="18"/>
              </w:rPr>
              <w:t xml:space="preserve">G/TV-PG; Netflix "Teen" — TV-14; Netflix "Adult" — TV-MA. Source: </w:t>
            </w:r>
            <w:hyperlink r:id="rId9" w:history="1">
              <w:r w:rsidRPr="00E320A6">
                <w:rPr>
                  <w:rStyle w:val="Hyperlink"/>
                  <w:rFonts w:ascii="Calibri" w:eastAsia="Times New Roman" w:hAnsi="Calibri" w:cs="Times New Roman"/>
                  <w:spacing w:val="-2"/>
                  <w:sz w:val="18"/>
                  <w:szCs w:val="18"/>
                  <w:u w:val="none"/>
                </w:rPr>
                <w:t>How does Netflix decide maturity ratings?</w:t>
              </w:r>
            </w:hyperlink>
          </w:p>
        </w:tc>
      </w:tr>
    </w:tbl>
    <w:p w14:paraId="13EF0C94" w14:textId="77777777" w:rsidR="00E87A51" w:rsidRPr="00E87A51" w:rsidRDefault="00E87A51" w:rsidP="007E0C7E">
      <w:pPr>
        <w:spacing w:after="120"/>
        <w:rPr>
          <w:b/>
          <w:bCs/>
          <w:spacing w:val="-2"/>
          <w:kern w:val="2"/>
          <w:sz w:val="6"/>
          <w:szCs w:val="6"/>
        </w:rPr>
      </w:pPr>
    </w:p>
    <w:p w14:paraId="54C2439C" w14:textId="77777777" w:rsidR="006E3E3F" w:rsidRPr="00FB6EEA" w:rsidRDefault="006E3E3F" w:rsidP="007E0C7E">
      <w:pPr>
        <w:spacing w:after="120"/>
        <w:rPr>
          <w:b/>
          <w:bCs/>
          <w:spacing w:val="-2"/>
          <w:kern w:val="2"/>
        </w:rPr>
      </w:pPr>
      <w:r w:rsidRPr="00FB6EEA">
        <w:rPr>
          <w:b/>
          <w:bCs/>
          <w:spacing w:val="-2"/>
          <w:kern w:val="2"/>
        </w:rPr>
        <w:t>Observations:</w:t>
      </w:r>
    </w:p>
    <w:p w14:paraId="3BA89A34" w14:textId="77777777" w:rsidR="00EB0A87" w:rsidRPr="00FC1CF4" w:rsidRDefault="006E3E3F" w:rsidP="007E0C7E">
      <w:pPr>
        <w:spacing w:after="120"/>
        <w:rPr>
          <w:spacing w:val="-2"/>
          <w:kern w:val="2"/>
          <w:sz w:val="21"/>
          <w:szCs w:val="21"/>
        </w:rPr>
      </w:pPr>
      <w:r w:rsidRPr="00FB6EEA">
        <w:rPr>
          <w:spacing w:val="-2"/>
          <w:kern w:val="2"/>
          <w:sz w:val="22"/>
          <w:szCs w:val="22"/>
        </w:rPr>
        <w:tab/>
      </w:r>
      <w:r w:rsidRPr="00FC1CF4">
        <w:rPr>
          <w:rFonts w:cs="Times New Roman (Body CS)"/>
          <w:spacing w:val="-2"/>
          <w:kern w:val="2"/>
          <w:sz w:val="21"/>
          <w:szCs w:val="21"/>
        </w:rPr>
        <w:t>• Half (50%</w:t>
      </w:r>
      <w:r w:rsidR="00EB0A87" w:rsidRPr="00FC1CF4">
        <w:rPr>
          <w:rFonts w:cs="Times New Roman (Body CS)"/>
          <w:spacing w:val="-2"/>
          <w:kern w:val="2"/>
          <w:sz w:val="21"/>
          <w:szCs w:val="21"/>
        </w:rPr>
        <w:t xml:space="preserve">) of all original, scripted TV series that Netflix produced worldwide </w:t>
      </w:r>
      <w:r w:rsidR="00144D5C" w:rsidRPr="00FC1CF4">
        <w:rPr>
          <w:rFonts w:cs="Times New Roman (Body CS)"/>
          <w:spacing w:val="-2"/>
          <w:kern w:val="2"/>
          <w:sz w:val="21"/>
          <w:szCs w:val="21"/>
        </w:rPr>
        <w:t>from</w:t>
      </w:r>
      <w:r w:rsidR="00EB0A87" w:rsidRPr="00FC1CF4">
        <w:rPr>
          <w:rFonts w:cs="Times New Roman (Body CS)"/>
          <w:spacing w:val="-2"/>
          <w:kern w:val="2"/>
          <w:sz w:val="21"/>
          <w:szCs w:val="21"/>
        </w:rPr>
        <w:t xml:space="preserve"> 2012 </w:t>
      </w:r>
      <w:r w:rsidR="00144D5C" w:rsidRPr="00FC1CF4">
        <w:rPr>
          <w:rFonts w:cs="Times New Roman (Body CS)"/>
          <w:spacing w:val="-2"/>
          <w:kern w:val="2"/>
          <w:sz w:val="21"/>
          <w:szCs w:val="21"/>
        </w:rPr>
        <w:t xml:space="preserve">to </w:t>
      </w:r>
      <w:r w:rsidR="00EB0A87" w:rsidRPr="00FC1CF4">
        <w:rPr>
          <w:rFonts w:cs="Times New Roman (Body CS)"/>
          <w:spacing w:val="-2"/>
          <w:kern w:val="2"/>
          <w:sz w:val="21"/>
          <w:szCs w:val="21"/>
        </w:rPr>
        <w:t>March</w:t>
      </w:r>
      <w:r w:rsidR="00EB0A87" w:rsidRPr="00FC1CF4">
        <w:rPr>
          <w:spacing w:val="-2"/>
          <w:kern w:val="2"/>
          <w:sz w:val="21"/>
          <w:szCs w:val="21"/>
        </w:rPr>
        <w:t xml:space="preserve"> 2020 contain smoking, according to content notifications displayed on U.S. Netflix screens. This includes </w:t>
      </w:r>
      <w:r w:rsidR="00EB0A87" w:rsidRPr="00FC1CF4">
        <w:rPr>
          <w:rFonts w:cs="Times New Roman (Body CS)"/>
          <w:spacing w:val="-2"/>
          <w:kern w:val="2"/>
          <w:sz w:val="21"/>
          <w:szCs w:val="21"/>
        </w:rPr>
        <w:t>7 percent of th</w:t>
      </w:r>
      <w:r w:rsidR="00144D5C" w:rsidRPr="00FC1CF4">
        <w:rPr>
          <w:rFonts w:cs="Times New Roman (Body CS)"/>
          <w:spacing w:val="-2"/>
          <w:kern w:val="2"/>
          <w:sz w:val="21"/>
          <w:szCs w:val="21"/>
        </w:rPr>
        <w:t>e</w:t>
      </w:r>
      <w:r w:rsidR="00EB0A87" w:rsidRPr="00FC1CF4">
        <w:rPr>
          <w:rFonts w:cs="Times New Roman (Body CS)"/>
          <w:spacing w:val="-2"/>
          <w:kern w:val="2"/>
          <w:sz w:val="21"/>
          <w:szCs w:val="21"/>
        </w:rPr>
        <w:t xml:space="preserve">se series that Netflix </w:t>
      </w:r>
      <w:r w:rsidR="007E0C7E" w:rsidRPr="00FC1CF4">
        <w:rPr>
          <w:rFonts w:cs="Times New Roman (Body CS)"/>
          <w:spacing w:val="-2"/>
          <w:kern w:val="2"/>
          <w:sz w:val="21"/>
          <w:szCs w:val="21"/>
        </w:rPr>
        <w:t>rated</w:t>
      </w:r>
      <w:r w:rsidR="00EB0A87" w:rsidRPr="00FC1CF4">
        <w:rPr>
          <w:rFonts w:cs="Times New Roman (Body CS)"/>
          <w:spacing w:val="-2"/>
          <w:kern w:val="2"/>
          <w:sz w:val="21"/>
          <w:szCs w:val="21"/>
        </w:rPr>
        <w:t xml:space="preserve"> for “kids,” 55 percent </w:t>
      </w:r>
      <w:r w:rsidR="007E0C7E" w:rsidRPr="00FC1CF4">
        <w:rPr>
          <w:rFonts w:cs="Times New Roman (Body CS)"/>
          <w:spacing w:val="-2"/>
          <w:kern w:val="2"/>
          <w:sz w:val="21"/>
          <w:szCs w:val="21"/>
        </w:rPr>
        <w:t>rated</w:t>
      </w:r>
      <w:r w:rsidR="00EB0A87" w:rsidRPr="00FC1CF4">
        <w:rPr>
          <w:rFonts w:cs="Times New Roman (Body CS)"/>
          <w:spacing w:val="-2"/>
          <w:kern w:val="2"/>
          <w:sz w:val="21"/>
          <w:szCs w:val="21"/>
        </w:rPr>
        <w:t xml:space="preserve"> for “teens,” and 72 rated for adults.</w:t>
      </w:r>
    </w:p>
    <w:p w14:paraId="4E309142" w14:textId="77777777" w:rsidR="00EB0A87" w:rsidRPr="00FC1CF4" w:rsidRDefault="00EB0A87" w:rsidP="00144D5C">
      <w:pPr>
        <w:spacing w:after="120"/>
        <w:rPr>
          <w:spacing w:val="-2"/>
          <w:kern w:val="2"/>
          <w:sz w:val="21"/>
          <w:szCs w:val="21"/>
        </w:rPr>
      </w:pPr>
      <w:r w:rsidRPr="00FC1CF4">
        <w:rPr>
          <w:spacing w:val="-2"/>
          <w:kern w:val="2"/>
          <w:sz w:val="21"/>
          <w:szCs w:val="21"/>
        </w:rPr>
        <w:tab/>
        <w:t xml:space="preserve">• </w:t>
      </w:r>
      <w:r w:rsidR="00960F6F" w:rsidRPr="00FC1CF4">
        <w:rPr>
          <w:spacing w:val="-2"/>
          <w:kern w:val="2"/>
          <w:sz w:val="21"/>
          <w:szCs w:val="21"/>
        </w:rPr>
        <w:t xml:space="preserve">Of its </w:t>
      </w:r>
      <w:r w:rsidR="007E0C7E" w:rsidRPr="00FC1CF4">
        <w:rPr>
          <w:spacing w:val="-2"/>
          <w:kern w:val="2"/>
          <w:sz w:val="21"/>
          <w:szCs w:val="21"/>
        </w:rPr>
        <w:t>270</w:t>
      </w:r>
      <w:r w:rsidR="00960F6F" w:rsidRPr="00FC1CF4">
        <w:rPr>
          <w:spacing w:val="-2"/>
          <w:kern w:val="2"/>
          <w:sz w:val="21"/>
          <w:szCs w:val="21"/>
        </w:rPr>
        <w:t xml:space="preserve"> English-language, scripted</w:t>
      </w:r>
      <w:r w:rsidR="00144D5C" w:rsidRPr="00FC1CF4">
        <w:rPr>
          <w:spacing w:val="-2"/>
          <w:kern w:val="2"/>
          <w:sz w:val="21"/>
          <w:szCs w:val="21"/>
        </w:rPr>
        <w:t>, original</w:t>
      </w:r>
      <w:r w:rsidR="00960F6F" w:rsidRPr="00FC1CF4">
        <w:rPr>
          <w:spacing w:val="-2"/>
          <w:kern w:val="2"/>
          <w:sz w:val="21"/>
          <w:szCs w:val="21"/>
        </w:rPr>
        <w:t xml:space="preserve"> series, Netflix added “smoking” notifications to 97 (36%). This includes </w:t>
      </w:r>
      <w:r w:rsidR="004130B4" w:rsidRPr="00FC1CF4">
        <w:rPr>
          <w:spacing w:val="-2"/>
          <w:kern w:val="2"/>
          <w:sz w:val="21"/>
          <w:szCs w:val="21"/>
        </w:rPr>
        <w:t>6</w:t>
      </w:r>
      <w:r w:rsidR="00960F6F" w:rsidRPr="00FC1CF4">
        <w:rPr>
          <w:spacing w:val="-2"/>
          <w:kern w:val="2"/>
          <w:sz w:val="21"/>
          <w:szCs w:val="21"/>
        </w:rPr>
        <w:t xml:space="preserve"> percent of TV series </w:t>
      </w:r>
      <w:r w:rsidR="00144D5C" w:rsidRPr="00FC1CF4">
        <w:rPr>
          <w:spacing w:val="-2"/>
          <w:kern w:val="2"/>
          <w:sz w:val="21"/>
          <w:szCs w:val="21"/>
        </w:rPr>
        <w:t xml:space="preserve">it </w:t>
      </w:r>
      <w:r w:rsidR="00960F6F" w:rsidRPr="00FC1CF4">
        <w:rPr>
          <w:spacing w:val="-2"/>
          <w:kern w:val="2"/>
          <w:sz w:val="21"/>
          <w:szCs w:val="21"/>
        </w:rPr>
        <w:t>rated for kids, 6</w:t>
      </w:r>
      <w:r w:rsidR="007E0C7E" w:rsidRPr="00FC1CF4">
        <w:rPr>
          <w:spacing w:val="-2"/>
          <w:kern w:val="2"/>
          <w:sz w:val="21"/>
          <w:szCs w:val="21"/>
        </w:rPr>
        <w:t>1</w:t>
      </w:r>
      <w:r w:rsidR="00960F6F" w:rsidRPr="00FC1CF4">
        <w:rPr>
          <w:spacing w:val="-2"/>
          <w:kern w:val="2"/>
          <w:sz w:val="21"/>
          <w:szCs w:val="21"/>
        </w:rPr>
        <w:t xml:space="preserve"> percent rated for teens, and 6</w:t>
      </w:r>
      <w:r w:rsidR="007E0C7E" w:rsidRPr="00FC1CF4">
        <w:rPr>
          <w:spacing w:val="-2"/>
          <w:kern w:val="2"/>
          <w:sz w:val="21"/>
          <w:szCs w:val="21"/>
        </w:rPr>
        <w:t>3</w:t>
      </w:r>
      <w:r w:rsidR="00960F6F" w:rsidRPr="00FC1CF4">
        <w:rPr>
          <w:spacing w:val="-2"/>
          <w:kern w:val="2"/>
          <w:sz w:val="21"/>
          <w:szCs w:val="21"/>
        </w:rPr>
        <w:t xml:space="preserve"> percent rated for adults. By default, Netflix makes all </w:t>
      </w:r>
      <w:r w:rsidR="007E0C7E" w:rsidRPr="00FC1CF4">
        <w:rPr>
          <w:spacing w:val="-2"/>
          <w:kern w:val="2"/>
          <w:sz w:val="21"/>
          <w:szCs w:val="21"/>
        </w:rPr>
        <w:t xml:space="preserve">of </w:t>
      </w:r>
      <w:r w:rsidR="00960F6F" w:rsidRPr="00FC1CF4">
        <w:rPr>
          <w:spacing w:val="-2"/>
          <w:kern w:val="2"/>
          <w:sz w:val="21"/>
          <w:szCs w:val="21"/>
        </w:rPr>
        <w:t>content accessible to viewers of all ages.</w:t>
      </w:r>
    </w:p>
    <w:p w14:paraId="38417F0C" w14:textId="77777777" w:rsidR="00D6349E" w:rsidRPr="00FC1CF4" w:rsidRDefault="007E0C7E" w:rsidP="00D6349E">
      <w:pPr>
        <w:spacing w:after="120"/>
        <w:rPr>
          <w:spacing w:val="-2"/>
          <w:kern w:val="2"/>
          <w:sz w:val="21"/>
          <w:szCs w:val="21"/>
        </w:rPr>
      </w:pPr>
      <w:r w:rsidRPr="00FC1CF4">
        <w:rPr>
          <w:spacing w:val="-2"/>
          <w:kern w:val="2"/>
          <w:sz w:val="21"/>
          <w:szCs w:val="21"/>
        </w:rPr>
        <w:tab/>
        <w:t xml:space="preserve">• </w:t>
      </w:r>
      <w:r w:rsidR="00960F6F" w:rsidRPr="00FC1CF4">
        <w:rPr>
          <w:spacing w:val="-2"/>
          <w:kern w:val="2"/>
          <w:sz w:val="21"/>
          <w:szCs w:val="21"/>
        </w:rPr>
        <w:t xml:space="preserve">Of its </w:t>
      </w:r>
      <w:r w:rsidR="004130B4" w:rsidRPr="00FC1CF4">
        <w:rPr>
          <w:spacing w:val="-2"/>
          <w:kern w:val="2"/>
          <w:sz w:val="21"/>
          <w:szCs w:val="21"/>
        </w:rPr>
        <w:t xml:space="preserve">116 </w:t>
      </w:r>
      <w:r w:rsidR="00960F6F" w:rsidRPr="00FC1CF4">
        <w:rPr>
          <w:spacing w:val="-2"/>
          <w:kern w:val="2"/>
          <w:sz w:val="21"/>
          <w:szCs w:val="21"/>
        </w:rPr>
        <w:t>scripted</w:t>
      </w:r>
      <w:r w:rsidR="00144D5C" w:rsidRPr="00FC1CF4">
        <w:rPr>
          <w:spacing w:val="-2"/>
          <w:kern w:val="2"/>
          <w:sz w:val="21"/>
          <w:szCs w:val="21"/>
        </w:rPr>
        <w:t>, original</w:t>
      </w:r>
      <w:r w:rsidR="00960F6F" w:rsidRPr="00FC1CF4">
        <w:rPr>
          <w:spacing w:val="-2"/>
          <w:kern w:val="2"/>
          <w:sz w:val="21"/>
          <w:szCs w:val="21"/>
        </w:rPr>
        <w:t xml:space="preserve"> series produced in other languages,</w:t>
      </w:r>
      <w:r w:rsidR="00960F6F" w:rsidRPr="00FC1CF4">
        <w:rPr>
          <w:rStyle w:val="FootnoteReference"/>
          <w:spacing w:val="-2"/>
          <w:kern w:val="2"/>
          <w:sz w:val="21"/>
          <w:szCs w:val="21"/>
        </w:rPr>
        <w:footnoteReference w:id="2"/>
      </w:r>
      <w:r w:rsidR="00EB05C9" w:rsidRPr="00FC1CF4">
        <w:rPr>
          <w:spacing w:val="-2"/>
          <w:kern w:val="2"/>
          <w:sz w:val="21"/>
          <w:szCs w:val="21"/>
        </w:rPr>
        <w:t xml:space="preserve"> Netflix added “smoking” notifications to 89 (77%). This includes 25 percent of TV series rated for kids, 42 </w:t>
      </w:r>
      <w:r w:rsidR="00E87A51" w:rsidRPr="00FC1CF4">
        <w:rPr>
          <w:spacing w:val="-2"/>
          <w:kern w:val="2"/>
          <w:sz w:val="21"/>
          <w:szCs w:val="21"/>
        </w:rPr>
        <w:t>p</w:t>
      </w:r>
      <w:r w:rsidR="00EB05C9" w:rsidRPr="00FC1CF4">
        <w:rPr>
          <w:spacing w:val="-2"/>
          <w:kern w:val="2"/>
          <w:sz w:val="21"/>
          <w:szCs w:val="21"/>
        </w:rPr>
        <w:t>ercent of shows rated for teens, and 83 percent of shows rated for adults.</w:t>
      </w:r>
    </w:p>
    <w:p w14:paraId="62406673" w14:textId="2BBE694A" w:rsidR="001A60A5" w:rsidRPr="0045704B" w:rsidRDefault="00D6349E" w:rsidP="0045704B">
      <w:pPr>
        <w:rPr>
          <w:spacing w:val="-2"/>
          <w:kern w:val="2"/>
          <w:sz w:val="21"/>
          <w:szCs w:val="21"/>
        </w:rPr>
      </w:pPr>
      <w:r w:rsidRPr="00FC1CF4">
        <w:rPr>
          <w:spacing w:val="-2"/>
          <w:kern w:val="2"/>
          <w:sz w:val="21"/>
          <w:szCs w:val="21"/>
        </w:rPr>
        <w:tab/>
      </w:r>
      <w:r w:rsidRPr="00FC1CF4">
        <w:rPr>
          <w:rFonts w:cs="Times New Roman (Body CS)"/>
          <w:spacing w:val="-4"/>
          <w:kern w:val="2"/>
          <w:sz w:val="21"/>
          <w:szCs w:val="21"/>
        </w:rPr>
        <w:t>• The count of original, scripted TV series with smoking</w:t>
      </w:r>
      <w:r w:rsidR="00E87A51" w:rsidRPr="00FC1CF4">
        <w:rPr>
          <w:rFonts w:cs="Times New Roman (Body CS)"/>
          <w:spacing w:val="-4"/>
          <w:kern w:val="2"/>
          <w:sz w:val="21"/>
          <w:szCs w:val="21"/>
        </w:rPr>
        <w:t xml:space="preserve"> notifications </w:t>
      </w:r>
      <w:r w:rsidRPr="00FC1CF4">
        <w:rPr>
          <w:rFonts w:cs="Times New Roman (Body CS)"/>
          <w:spacing w:val="-4"/>
          <w:kern w:val="2"/>
          <w:sz w:val="21"/>
          <w:szCs w:val="21"/>
        </w:rPr>
        <w:t xml:space="preserve">debuting on Netflix </w:t>
      </w:r>
      <w:r w:rsidR="00E87A51" w:rsidRPr="00FC1CF4">
        <w:rPr>
          <w:rFonts w:cs="Times New Roman (Body CS)"/>
          <w:spacing w:val="-4"/>
          <w:kern w:val="2"/>
          <w:sz w:val="21"/>
          <w:szCs w:val="21"/>
        </w:rPr>
        <w:t>rose</w:t>
      </w:r>
      <w:r w:rsidRPr="00FC1CF4">
        <w:rPr>
          <w:rFonts w:cs="Times New Roman (Body CS)"/>
          <w:spacing w:val="-4"/>
          <w:kern w:val="2"/>
          <w:sz w:val="21"/>
          <w:szCs w:val="21"/>
        </w:rPr>
        <w:t xml:space="preserve"> steadily from</w:t>
      </w:r>
      <w:r w:rsidRPr="00FC1CF4">
        <w:rPr>
          <w:spacing w:val="-2"/>
          <w:kern w:val="2"/>
          <w:sz w:val="21"/>
          <w:szCs w:val="21"/>
        </w:rPr>
        <w:t xml:space="preserve"> 2013 (two series) through 2019</w:t>
      </w:r>
      <w:r w:rsidR="00EB05C9" w:rsidRPr="00FC1CF4">
        <w:rPr>
          <w:spacing w:val="-2"/>
          <w:kern w:val="2"/>
          <w:sz w:val="21"/>
          <w:szCs w:val="21"/>
        </w:rPr>
        <w:t xml:space="preserve"> </w:t>
      </w:r>
      <w:r w:rsidRPr="00FC1CF4">
        <w:rPr>
          <w:spacing w:val="-2"/>
          <w:kern w:val="2"/>
          <w:sz w:val="21"/>
          <w:szCs w:val="21"/>
        </w:rPr>
        <w:t>(78 series). Twenty-one more were added in the first quarter of 2020.</w:t>
      </w:r>
      <w:bookmarkStart w:id="0" w:name="_GoBack"/>
      <w:bookmarkEnd w:id="0"/>
    </w:p>
    <w:sectPr w:rsidR="001A60A5" w:rsidRPr="0045704B" w:rsidSect="00235EF9">
      <w:headerReference w:type="default" r:id="rId10"/>
      <w:pgSz w:w="12240" w:h="15840"/>
      <w:pgMar w:top="1557" w:right="1440" w:bottom="7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AB563" w14:textId="77777777" w:rsidR="00C310E6" w:rsidRDefault="00C310E6" w:rsidP="00770A87">
      <w:r>
        <w:separator/>
      </w:r>
    </w:p>
  </w:endnote>
  <w:endnote w:type="continuationSeparator" w:id="0">
    <w:p w14:paraId="56B52878" w14:textId="77777777" w:rsidR="00C310E6" w:rsidRDefault="00C310E6" w:rsidP="0077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5E53C" w14:textId="77777777" w:rsidR="00C310E6" w:rsidRDefault="00C310E6" w:rsidP="00770A87">
      <w:r>
        <w:separator/>
      </w:r>
    </w:p>
  </w:footnote>
  <w:footnote w:type="continuationSeparator" w:id="0">
    <w:p w14:paraId="334CD0CB" w14:textId="77777777" w:rsidR="00C310E6" w:rsidRDefault="00C310E6" w:rsidP="00770A87">
      <w:r>
        <w:continuationSeparator/>
      </w:r>
    </w:p>
  </w:footnote>
  <w:footnote w:id="1">
    <w:p w14:paraId="484D9A42" w14:textId="77777777" w:rsidR="00770A87" w:rsidRPr="00FB6EEA" w:rsidRDefault="00770A87" w:rsidP="00EB05C9">
      <w:pPr>
        <w:rPr>
          <w:rFonts w:eastAsia="Times New Roman" w:cs="Times New Roman"/>
          <w:color w:val="000000"/>
          <w:spacing w:val="-2"/>
          <w:kern w:val="2"/>
          <w:sz w:val="22"/>
          <w:szCs w:val="22"/>
        </w:rPr>
      </w:pPr>
      <w:r w:rsidRPr="00FB6EEA">
        <w:rPr>
          <w:rStyle w:val="FootnoteReference"/>
          <w:spacing w:val="-2"/>
          <w:kern w:val="2"/>
          <w:sz w:val="20"/>
          <w:szCs w:val="20"/>
        </w:rPr>
        <w:footnoteRef/>
      </w:r>
      <w:r w:rsidRPr="00FB6EEA">
        <w:rPr>
          <w:spacing w:val="-2"/>
          <w:kern w:val="2"/>
          <w:sz w:val="20"/>
          <w:szCs w:val="20"/>
        </w:rPr>
        <w:t xml:space="preserve"> </w:t>
      </w:r>
      <w:r w:rsidRPr="00FB6EEA">
        <w:rPr>
          <w:spacing w:val="-2"/>
          <w:kern w:val="2"/>
          <w:sz w:val="17"/>
          <w:szCs w:val="17"/>
        </w:rPr>
        <w:t xml:space="preserve">Wikipedia. </w:t>
      </w:r>
      <w:hyperlink r:id="rId1" w:history="1">
        <w:r w:rsidRPr="00FB6EEA">
          <w:rPr>
            <w:rStyle w:val="Hyperlink"/>
            <w:spacing w:val="-2"/>
            <w:kern w:val="2"/>
            <w:sz w:val="17"/>
            <w:szCs w:val="17"/>
            <w:u w:val="none"/>
          </w:rPr>
          <w:t>List of original programs distributed by Netflix</w:t>
        </w:r>
      </w:hyperlink>
      <w:r w:rsidRPr="00FB6EEA">
        <w:rPr>
          <w:spacing w:val="-2"/>
          <w:kern w:val="2"/>
          <w:sz w:val="17"/>
          <w:szCs w:val="17"/>
        </w:rPr>
        <w:t xml:space="preserve">. </w:t>
      </w:r>
      <w:r w:rsidR="00EB05C9" w:rsidRPr="00FB6EEA">
        <w:rPr>
          <w:rFonts w:eastAsia="Times New Roman" w:cs="Times New Roman"/>
          <w:color w:val="000000"/>
          <w:spacing w:val="-2"/>
          <w:kern w:val="2"/>
          <w:sz w:val="17"/>
          <w:szCs w:val="17"/>
        </w:rPr>
        <w:t xml:space="preserve">Accessed 31 March 2020. </w:t>
      </w:r>
      <w:r w:rsidR="00FB6EEA" w:rsidRPr="00FB6EEA">
        <w:rPr>
          <w:spacing w:val="-2"/>
          <w:kern w:val="2"/>
          <w:sz w:val="17"/>
          <w:szCs w:val="17"/>
        </w:rPr>
        <w:t xml:space="preserve">From </w:t>
      </w:r>
      <w:r w:rsidR="00EB05C9" w:rsidRPr="00FB6EEA">
        <w:rPr>
          <w:spacing w:val="-2"/>
          <w:kern w:val="2"/>
          <w:sz w:val="17"/>
          <w:szCs w:val="17"/>
        </w:rPr>
        <w:t>this list, we</w:t>
      </w:r>
      <w:r w:rsidRPr="00FB6EEA">
        <w:rPr>
          <w:spacing w:val="-2"/>
          <w:kern w:val="2"/>
          <w:sz w:val="17"/>
          <w:szCs w:val="17"/>
        </w:rPr>
        <w:t xml:space="preserve"> surveyed </w:t>
      </w:r>
      <w:r w:rsidR="00FB6EEA" w:rsidRPr="00FB6EEA">
        <w:rPr>
          <w:spacing w:val="-2"/>
          <w:kern w:val="2"/>
          <w:sz w:val="17"/>
          <w:szCs w:val="17"/>
        </w:rPr>
        <w:t xml:space="preserve">all </w:t>
      </w:r>
      <w:r w:rsidRPr="00FB6EEA">
        <w:rPr>
          <w:spacing w:val="-2"/>
          <w:kern w:val="2"/>
          <w:sz w:val="17"/>
          <w:szCs w:val="17"/>
        </w:rPr>
        <w:t xml:space="preserve">scripted series, </w:t>
      </w:r>
      <w:r w:rsidRPr="00FB6EEA">
        <w:rPr>
          <w:rFonts w:cs="Times New Roman (Body CS)"/>
          <w:spacing w:val="-2"/>
          <w:kern w:val="2"/>
          <w:sz w:val="17"/>
          <w:szCs w:val="17"/>
        </w:rPr>
        <w:t xml:space="preserve">both live-action and animated, including co-productions </w:t>
      </w:r>
      <w:r w:rsidR="00FB6EEA" w:rsidRPr="00FB6EEA">
        <w:rPr>
          <w:rFonts w:cs="Times New Roman (Body CS)"/>
          <w:spacing w:val="-2"/>
          <w:kern w:val="2"/>
          <w:sz w:val="17"/>
          <w:szCs w:val="17"/>
        </w:rPr>
        <w:t xml:space="preserve">Netflix </w:t>
      </w:r>
      <w:r w:rsidRPr="00FB6EEA">
        <w:rPr>
          <w:rFonts w:cs="Times New Roman (Body CS)"/>
          <w:spacing w:val="-2"/>
          <w:kern w:val="2"/>
          <w:sz w:val="17"/>
          <w:szCs w:val="17"/>
        </w:rPr>
        <w:t>bil</w:t>
      </w:r>
      <w:r w:rsidR="00FB6EEA" w:rsidRPr="00FB6EEA">
        <w:rPr>
          <w:rFonts w:cs="Times New Roman (Body CS)"/>
          <w:spacing w:val="-2"/>
          <w:kern w:val="2"/>
          <w:sz w:val="17"/>
          <w:szCs w:val="17"/>
        </w:rPr>
        <w:t>ls</w:t>
      </w:r>
      <w:r w:rsidRPr="00FB6EEA">
        <w:rPr>
          <w:rFonts w:cs="Times New Roman (Body CS)"/>
          <w:spacing w:val="-2"/>
          <w:kern w:val="2"/>
          <w:sz w:val="17"/>
          <w:szCs w:val="17"/>
        </w:rPr>
        <w:t xml:space="preserve"> as “originals.</w:t>
      </w:r>
      <w:r w:rsidR="00FB6EEA" w:rsidRPr="00FB6EEA">
        <w:rPr>
          <w:rFonts w:cs="Times New Roman (Body CS)"/>
          <w:spacing w:val="-2"/>
          <w:kern w:val="2"/>
          <w:sz w:val="17"/>
          <w:szCs w:val="17"/>
        </w:rPr>
        <w:t>”</w:t>
      </w:r>
      <w:r w:rsidRPr="00FB6EEA">
        <w:rPr>
          <w:rFonts w:cs="Times New Roman (Body CS)"/>
          <w:spacing w:val="-2"/>
          <w:kern w:val="2"/>
          <w:sz w:val="17"/>
          <w:szCs w:val="17"/>
        </w:rPr>
        <w:t xml:space="preserve"> </w:t>
      </w:r>
      <w:r w:rsidR="00EB05C9" w:rsidRPr="00FB6EEA">
        <w:rPr>
          <w:rFonts w:cs="Times New Roman (Body CS)"/>
          <w:spacing w:val="-2"/>
          <w:kern w:val="2"/>
          <w:sz w:val="17"/>
          <w:szCs w:val="17"/>
        </w:rPr>
        <w:t>We omitted</w:t>
      </w:r>
      <w:r w:rsidRPr="00FB6EEA">
        <w:rPr>
          <w:rFonts w:cs="Times New Roman (Body CS)"/>
          <w:spacing w:val="-2"/>
          <w:kern w:val="2"/>
          <w:sz w:val="17"/>
          <w:szCs w:val="17"/>
        </w:rPr>
        <w:t xml:space="preserve"> </w:t>
      </w:r>
      <w:r w:rsidR="00EB05C9" w:rsidRPr="00FB6EEA">
        <w:rPr>
          <w:rFonts w:cs="Times New Roman (Body CS)"/>
          <w:spacing w:val="-2"/>
          <w:kern w:val="2"/>
          <w:sz w:val="17"/>
          <w:szCs w:val="17"/>
        </w:rPr>
        <w:t>d</w:t>
      </w:r>
      <w:r w:rsidRPr="00FB6EEA">
        <w:rPr>
          <w:rFonts w:cs="Times New Roman (Body CS)"/>
          <w:spacing w:val="-2"/>
          <w:kern w:val="2"/>
          <w:sz w:val="17"/>
          <w:szCs w:val="17"/>
        </w:rPr>
        <w:t>ocumentary series,</w:t>
      </w:r>
      <w:r w:rsidR="00FB6EEA" w:rsidRPr="00FB6EEA">
        <w:rPr>
          <w:rFonts w:cs="Times New Roman (Body CS)"/>
          <w:spacing w:val="-2"/>
          <w:kern w:val="2"/>
          <w:sz w:val="17"/>
          <w:szCs w:val="17"/>
        </w:rPr>
        <w:t xml:space="preserve"> </w:t>
      </w:r>
      <w:r w:rsidRPr="00FB6EEA">
        <w:rPr>
          <w:rFonts w:cs="Times New Roman (Body CS)"/>
          <w:spacing w:val="-2"/>
          <w:kern w:val="2"/>
          <w:sz w:val="17"/>
          <w:szCs w:val="17"/>
        </w:rPr>
        <w:t>reality and competition</w:t>
      </w:r>
      <w:r w:rsidRPr="00FB6EEA">
        <w:rPr>
          <w:spacing w:val="-2"/>
          <w:kern w:val="2"/>
          <w:sz w:val="17"/>
          <w:szCs w:val="17"/>
        </w:rPr>
        <w:t xml:space="preserve"> shows, variety </w:t>
      </w:r>
      <w:r w:rsidR="00EB6267">
        <w:rPr>
          <w:spacing w:val="-2"/>
          <w:kern w:val="2"/>
          <w:sz w:val="17"/>
          <w:szCs w:val="17"/>
        </w:rPr>
        <w:t xml:space="preserve">and talk </w:t>
      </w:r>
      <w:r w:rsidRPr="00FB6EEA">
        <w:rPr>
          <w:spacing w:val="-2"/>
          <w:kern w:val="2"/>
          <w:sz w:val="17"/>
          <w:szCs w:val="17"/>
        </w:rPr>
        <w:t xml:space="preserve">shows, and continuations (pickups from other networks). </w:t>
      </w:r>
      <w:r w:rsidR="001A60A5">
        <w:rPr>
          <w:rFonts w:eastAsia="Times New Roman" w:cs="Times New Roman"/>
          <w:color w:val="000000"/>
          <w:spacing w:val="-2"/>
          <w:kern w:val="2"/>
          <w:sz w:val="17"/>
          <w:szCs w:val="17"/>
        </w:rPr>
        <w:t>D</w:t>
      </w:r>
      <w:r w:rsidR="00EB05C9" w:rsidRPr="00FB6EEA">
        <w:rPr>
          <w:rFonts w:eastAsia="Times New Roman" w:cs="Times New Roman"/>
          <w:color w:val="000000"/>
          <w:spacing w:val="-2"/>
          <w:kern w:val="2"/>
          <w:sz w:val="17"/>
          <w:szCs w:val="17"/>
        </w:rPr>
        <w:t>ata sample we analyzed</w:t>
      </w:r>
      <w:r w:rsidRPr="00FB6EEA">
        <w:rPr>
          <w:rFonts w:eastAsia="Times New Roman" w:cs="Times New Roman"/>
          <w:color w:val="000000"/>
          <w:spacing w:val="-2"/>
          <w:kern w:val="2"/>
          <w:sz w:val="17"/>
          <w:szCs w:val="17"/>
        </w:rPr>
        <w:t xml:space="preserve">, with annotations, </w:t>
      </w:r>
      <w:r w:rsidR="006E3E3F" w:rsidRPr="00FB6EEA">
        <w:rPr>
          <w:rFonts w:eastAsia="Times New Roman" w:cs="Times New Roman"/>
          <w:color w:val="000000"/>
          <w:spacing w:val="-2"/>
          <w:kern w:val="2"/>
          <w:sz w:val="17"/>
          <w:szCs w:val="17"/>
        </w:rPr>
        <w:t xml:space="preserve">is </w:t>
      </w:r>
      <w:r w:rsidRPr="00FB6EEA">
        <w:rPr>
          <w:rFonts w:eastAsia="Times New Roman" w:cs="Times New Roman"/>
          <w:color w:val="000000"/>
          <w:spacing w:val="-2"/>
          <w:kern w:val="2"/>
          <w:sz w:val="17"/>
          <w:szCs w:val="17"/>
        </w:rPr>
        <w:t xml:space="preserve">available in Excel at </w:t>
      </w:r>
      <w:hyperlink r:id="rId2" w:history="1">
        <w:r w:rsidR="00135EB2" w:rsidRPr="00135EB2">
          <w:rPr>
            <w:rStyle w:val="Hyperlink"/>
            <w:rFonts w:eastAsia="Times New Roman" w:cs="Times New Roman"/>
            <w:spacing w:val="-2"/>
            <w:kern w:val="2"/>
            <w:sz w:val="17"/>
            <w:szCs w:val="17"/>
            <w:u w:val="none"/>
          </w:rPr>
          <w:t>bit.ly/sfm-vod-0420</w:t>
        </w:r>
      </w:hyperlink>
      <w:r w:rsidR="00135EB2" w:rsidRPr="00135EB2">
        <w:rPr>
          <w:rFonts w:eastAsia="Times New Roman" w:cs="Times New Roman"/>
          <w:color w:val="000000"/>
          <w:spacing w:val="-2"/>
          <w:kern w:val="2"/>
          <w:sz w:val="17"/>
          <w:szCs w:val="17"/>
        </w:rPr>
        <w:t>.</w:t>
      </w:r>
    </w:p>
  </w:footnote>
  <w:footnote w:id="2">
    <w:p w14:paraId="6423A194" w14:textId="77777777" w:rsidR="00960F6F" w:rsidRDefault="00960F6F">
      <w:pPr>
        <w:pStyle w:val="FootnoteText"/>
      </w:pPr>
      <w:r w:rsidRPr="00FB6EEA">
        <w:rPr>
          <w:rStyle w:val="FootnoteReference"/>
          <w:spacing w:val="-2"/>
          <w:kern w:val="2"/>
        </w:rPr>
        <w:footnoteRef/>
      </w:r>
      <w:r w:rsidRPr="00FB6EEA">
        <w:rPr>
          <w:spacing w:val="-2"/>
          <w:kern w:val="2"/>
        </w:rPr>
        <w:t xml:space="preserve"> </w:t>
      </w:r>
      <w:r w:rsidR="004130B4" w:rsidRPr="00FB6EEA">
        <w:rPr>
          <w:spacing w:val="-2"/>
          <w:kern w:val="2"/>
          <w:sz w:val="17"/>
          <w:szCs w:val="17"/>
        </w:rPr>
        <w:t>These languages include</w:t>
      </w:r>
      <w:r w:rsidR="00452080" w:rsidRPr="00FB6EEA">
        <w:rPr>
          <w:spacing w:val="-2"/>
          <w:kern w:val="2"/>
          <w:sz w:val="17"/>
          <w:szCs w:val="17"/>
        </w:rPr>
        <w:t xml:space="preserve"> </w:t>
      </w:r>
      <w:r w:rsidR="004130B4" w:rsidRPr="00FB6EEA">
        <w:rPr>
          <w:spacing w:val="-2"/>
          <w:kern w:val="2"/>
          <w:sz w:val="17"/>
          <w:szCs w:val="17"/>
        </w:rPr>
        <w:t>Arabic</w:t>
      </w:r>
      <w:r w:rsidR="00144D5C" w:rsidRPr="00FB6EEA">
        <w:rPr>
          <w:spacing w:val="-2"/>
          <w:kern w:val="2"/>
          <w:sz w:val="17"/>
          <w:szCs w:val="17"/>
        </w:rPr>
        <w:t xml:space="preserve"> (2</w:t>
      </w:r>
      <w:r w:rsidR="00EB05C9" w:rsidRPr="00FB6EEA">
        <w:rPr>
          <w:spacing w:val="-2"/>
          <w:kern w:val="2"/>
          <w:sz w:val="17"/>
          <w:szCs w:val="17"/>
        </w:rPr>
        <w:t xml:space="preserve"> series</w:t>
      </w:r>
      <w:r w:rsidR="00144D5C" w:rsidRPr="00FB6EEA">
        <w:rPr>
          <w:spacing w:val="-2"/>
          <w:kern w:val="2"/>
          <w:sz w:val="17"/>
          <w:szCs w:val="17"/>
        </w:rPr>
        <w:t>)</w:t>
      </w:r>
      <w:r w:rsidR="004130B4" w:rsidRPr="00FB6EEA">
        <w:rPr>
          <w:spacing w:val="-2"/>
          <w:kern w:val="2"/>
          <w:sz w:val="17"/>
          <w:szCs w:val="17"/>
        </w:rPr>
        <w:t>, Danish</w:t>
      </w:r>
      <w:r w:rsidR="00144D5C" w:rsidRPr="00FB6EEA">
        <w:rPr>
          <w:spacing w:val="-2"/>
          <w:kern w:val="2"/>
          <w:sz w:val="17"/>
          <w:szCs w:val="17"/>
        </w:rPr>
        <w:t xml:space="preserve"> (1)</w:t>
      </w:r>
      <w:r w:rsidR="004130B4" w:rsidRPr="00FB6EEA">
        <w:rPr>
          <w:spacing w:val="-2"/>
          <w:kern w:val="2"/>
          <w:sz w:val="17"/>
          <w:szCs w:val="17"/>
        </w:rPr>
        <w:t>, Dutch</w:t>
      </w:r>
      <w:r w:rsidR="00144D5C" w:rsidRPr="00FB6EEA">
        <w:rPr>
          <w:spacing w:val="-2"/>
          <w:kern w:val="2"/>
          <w:sz w:val="17"/>
          <w:szCs w:val="17"/>
        </w:rPr>
        <w:t xml:space="preserve"> (2)</w:t>
      </w:r>
      <w:r w:rsidR="004130B4" w:rsidRPr="00FB6EEA">
        <w:rPr>
          <w:spacing w:val="-2"/>
          <w:kern w:val="2"/>
          <w:sz w:val="17"/>
          <w:szCs w:val="17"/>
        </w:rPr>
        <w:t>, French</w:t>
      </w:r>
      <w:r w:rsidR="00144D5C" w:rsidRPr="00FB6EEA">
        <w:rPr>
          <w:spacing w:val="-2"/>
          <w:kern w:val="2"/>
          <w:sz w:val="17"/>
          <w:szCs w:val="17"/>
        </w:rPr>
        <w:t xml:space="preserve"> (9)</w:t>
      </w:r>
      <w:r w:rsidR="004130B4" w:rsidRPr="00FB6EEA">
        <w:rPr>
          <w:spacing w:val="-2"/>
          <w:kern w:val="2"/>
          <w:sz w:val="17"/>
          <w:szCs w:val="17"/>
        </w:rPr>
        <w:t>, German</w:t>
      </w:r>
      <w:r w:rsidR="00144D5C" w:rsidRPr="00FB6EEA">
        <w:rPr>
          <w:spacing w:val="-2"/>
          <w:kern w:val="2"/>
          <w:sz w:val="17"/>
          <w:szCs w:val="17"/>
        </w:rPr>
        <w:t xml:space="preserve"> (9)</w:t>
      </w:r>
      <w:r w:rsidR="004130B4" w:rsidRPr="00FB6EEA">
        <w:rPr>
          <w:spacing w:val="-2"/>
          <w:kern w:val="2"/>
          <w:sz w:val="17"/>
          <w:szCs w:val="17"/>
        </w:rPr>
        <w:t>, Hindi</w:t>
      </w:r>
      <w:r w:rsidR="00144D5C" w:rsidRPr="00FB6EEA">
        <w:rPr>
          <w:spacing w:val="-2"/>
          <w:kern w:val="2"/>
          <w:sz w:val="17"/>
          <w:szCs w:val="17"/>
        </w:rPr>
        <w:t xml:space="preserve"> (10)</w:t>
      </w:r>
      <w:r w:rsidR="004130B4" w:rsidRPr="00FB6EEA">
        <w:rPr>
          <w:spacing w:val="-2"/>
          <w:kern w:val="2"/>
          <w:sz w:val="17"/>
          <w:szCs w:val="17"/>
        </w:rPr>
        <w:t>,</w:t>
      </w:r>
      <w:r w:rsidR="00144D5C" w:rsidRPr="00FB6EEA">
        <w:rPr>
          <w:spacing w:val="-2"/>
          <w:kern w:val="2"/>
          <w:sz w:val="17"/>
          <w:szCs w:val="17"/>
        </w:rPr>
        <w:t xml:space="preserve"> Icelandic (1),</w:t>
      </w:r>
      <w:r w:rsidR="004130B4" w:rsidRPr="00FB6EEA">
        <w:rPr>
          <w:spacing w:val="-2"/>
          <w:kern w:val="2"/>
          <w:sz w:val="17"/>
          <w:szCs w:val="17"/>
        </w:rPr>
        <w:t xml:space="preserve"> Italian</w:t>
      </w:r>
      <w:r w:rsidR="00144D5C" w:rsidRPr="00FB6EEA">
        <w:rPr>
          <w:spacing w:val="-2"/>
          <w:kern w:val="2"/>
          <w:sz w:val="17"/>
          <w:szCs w:val="17"/>
        </w:rPr>
        <w:t xml:space="preserve"> (3)</w:t>
      </w:r>
      <w:r w:rsidR="004130B4" w:rsidRPr="00FB6EEA">
        <w:rPr>
          <w:spacing w:val="-2"/>
          <w:kern w:val="2"/>
          <w:sz w:val="17"/>
          <w:szCs w:val="17"/>
        </w:rPr>
        <w:t>, Japanese</w:t>
      </w:r>
      <w:r w:rsidR="00144D5C" w:rsidRPr="00FB6EEA">
        <w:rPr>
          <w:spacing w:val="-2"/>
          <w:kern w:val="2"/>
          <w:sz w:val="17"/>
          <w:szCs w:val="17"/>
        </w:rPr>
        <w:t xml:space="preserve"> (20)</w:t>
      </w:r>
      <w:r w:rsidR="004130B4" w:rsidRPr="00FB6EEA">
        <w:rPr>
          <w:spacing w:val="-2"/>
          <w:kern w:val="2"/>
          <w:sz w:val="17"/>
          <w:szCs w:val="17"/>
        </w:rPr>
        <w:t>, Korean</w:t>
      </w:r>
      <w:r w:rsidR="00EB05C9" w:rsidRPr="00FB6EEA">
        <w:rPr>
          <w:spacing w:val="-2"/>
          <w:kern w:val="2"/>
          <w:sz w:val="17"/>
          <w:szCs w:val="17"/>
        </w:rPr>
        <w:t xml:space="preserve"> (8)</w:t>
      </w:r>
      <w:r w:rsidR="004130B4" w:rsidRPr="00FB6EEA">
        <w:rPr>
          <w:spacing w:val="-2"/>
          <w:kern w:val="2"/>
          <w:sz w:val="17"/>
          <w:szCs w:val="17"/>
        </w:rPr>
        <w:t>, Mandarin</w:t>
      </w:r>
      <w:r w:rsidR="00EB05C9" w:rsidRPr="00FB6EEA">
        <w:rPr>
          <w:spacing w:val="-2"/>
          <w:kern w:val="2"/>
          <w:sz w:val="17"/>
          <w:szCs w:val="17"/>
        </w:rPr>
        <w:t xml:space="preserve"> (3)</w:t>
      </w:r>
      <w:r w:rsidR="004130B4" w:rsidRPr="00FB6EEA">
        <w:rPr>
          <w:spacing w:val="-2"/>
          <w:kern w:val="2"/>
          <w:sz w:val="17"/>
          <w:szCs w:val="17"/>
        </w:rPr>
        <w:t>, Norwegian</w:t>
      </w:r>
      <w:r w:rsidR="00EB05C9" w:rsidRPr="00FB6EEA">
        <w:rPr>
          <w:spacing w:val="-2"/>
          <w:kern w:val="2"/>
          <w:sz w:val="17"/>
          <w:szCs w:val="17"/>
        </w:rPr>
        <w:t xml:space="preserve"> (4)</w:t>
      </w:r>
      <w:r w:rsidR="004130B4" w:rsidRPr="00FB6EEA">
        <w:rPr>
          <w:spacing w:val="-2"/>
          <w:kern w:val="2"/>
          <w:sz w:val="17"/>
          <w:szCs w:val="17"/>
        </w:rPr>
        <w:t>, Polish</w:t>
      </w:r>
      <w:r w:rsidR="00EB05C9" w:rsidRPr="00FB6EEA">
        <w:rPr>
          <w:spacing w:val="-2"/>
          <w:kern w:val="2"/>
          <w:sz w:val="17"/>
          <w:szCs w:val="17"/>
        </w:rPr>
        <w:t xml:space="preserve"> (1)</w:t>
      </w:r>
      <w:r w:rsidR="004130B4" w:rsidRPr="00FB6EEA">
        <w:rPr>
          <w:spacing w:val="-2"/>
          <w:kern w:val="2"/>
          <w:sz w:val="17"/>
          <w:szCs w:val="17"/>
        </w:rPr>
        <w:t xml:space="preserve">, </w:t>
      </w:r>
      <w:r w:rsidR="00452080" w:rsidRPr="00FB6EEA">
        <w:rPr>
          <w:spacing w:val="-2"/>
          <w:kern w:val="2"/>
          <w:sz w:val="17"/>
          <w:szCs w:val="17"/>
        </w:rPr>
        <w:t>Portuguese</w:t>
      </w:r>
      <w:r w:rsidR="00EB05C9" w:rsidRPr="00FB6EEA">
        <w:rPr>
          <w:spacing w:val="-2"/>
          <w:kern w:val="2"/>
          <w:sz w:val="17"/>
          <w:szCs w:val="17"/>
        </w:rPr>
        <w:t xml:space="preserve"> (2)</w:t>
      </w:r>
      <w:r w:rsidR="004130B4" w:rsidRPr="00FB6EEA">
        <w:rPr>
          <w:spacing w:val="-2"/>
          <w:kern w:val="2"/>
          <w:sz w:val="17"/>
          <w:szCs w:val="17"/>
        </w:rPr>
        <w:t>, Spanish</w:t>
      </w:r>
      <w:r w:rsidR="00EB05C9" w:rsidRPr="00FB6EEA">
        <w:rPr>
          <w:spacing w:val="-2"/>
          <w:kern w:val="2"/>
          <w:sz w:val="17"/>
          <w:szCs w:val="17"/>
        </w:rPr>
        <w:t xml:space="preserve"> (29)</w:t>
      </w:r>
      <w:r w:rsidR="004130B4" w:rsidRPr="00FB6EEA">
        <w:rPr>
          <w:spacing w:val="-2"/>
          <w:kern w:val="2"/>
          <w:sz w:val="17"/>
          <w:szCs w:val="17"/>
        </w:rPr>
        <w:t>, Swedish</w:t>
      </w:r>
      <w:r w:rsidR="00EB05C9" w:rsidRPr="00FB6EEA">
        <w:rPr>
          <w:spacing w:val="-2"/>
          <w:kern w:val="2"/>
          <w:sz w:val="17"/>
          <w:szCs w:val="17"/>
        </w:rPr>
        <w:t xml:space="preserve"> (1)</w:t>
      </w:r>
      <w:r w:rsidR="004130B4" w:rsidRPr="00FB6EEA">
        <w:rPr>
          <w:spacing w:val="-2"/>
          <w:kern w:val="2"/>
          <w:sz w:val="17"/>
          <w:szCs w:val="17"/>
        </w:rPr>
        <w:t>, Thai</w:t>
      </w:r>
      <w:r w:rsidR="00EB05C9" w:rsidRPr="00FB6EEA">
        <w:rPr>
          <w:spacing w:val="-2"/>
          <w:kern w:val="2"/>
          <w:sz w:val="17"/>
          <w:szCs w:val="17"/>
        </w:rPr>
        <w:t xml:space="preserve"> (1)</w:t>
      </w:r>
      <w:r w:rsidR="004130B4" w:rsidRPr="00FB6EEA">
        <w:rPr>
          <w:spacing w:val="-2"/>
          <w:kern w:val="2"/>
          <w:sz w:val="17"/>
          <w:szCs w:val="17"/>
        </w:rPr>
        <w:t>,</w:t>
      </w:r>
      <w:r w:rsidR="00144D5C" w:rsidRPr="00FB6EEA">
        <w:rPr>
          <w:spacing w:val="-2"/>
          <w:kern w:val="2"/>
          <w:sz w:val="17"/>
          <w:szCs w:val="17"/>
        </w:rPr>
        <w:t xml:space="preserve"> and</w:t>
      </w:r>
      <w:r w:rsidR="004130B4" w:rsidRPr="00FB6EEA">
        <w:rPr>
          <w:spacing w:val="-2"/>
          <w:kern w:val="2"/>
          <w:sz w:val="17"/>
          <w:szCs w:val="17"/>
        </w:rPr>
        <w:t xml:space="preserve"> Turkish</w:t>
      </w:r>
      <w:r w:rsidR="00EB05C9" w:rsidRPr="00FB6EEA">
        <w:rPr>
          <w:spacing w:val="-2"/>
          <w:kern w:val="2"/>
          <w:sz w:val="17"/>
          <w:szCs w:val="17"/>
        </w:rPr>
        <w:t xml:space="preserve"> (2)</w:t>
      </w:r>
      <w:r w:rsidR="00144D5C" w:rsidRPr="00FB6EEA">
        <w:rPr>
          <w:spacing w:val="-2"/>
          <w:kern w:val="2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170D7" w14:textId="77777777" w:rsidR="005F0DA3" w:rsidRDefault="009D6473">
    <w:pPr>
      <w:pStyle w:val="Header"/>
    </w:pPr>
    <w:r w:rsidRPr="009D6473">
      <w:rPr>
        <w:noProof/>
      </w:rPr>
      <w:drawing>
        <wp:inline distT="0" distB="0" distL="0" distR="0" wp14:anchorId="67E55427" wp14:editId="63DA49C9">
          <wp:extent cx="1537050" cy="564253"/>
          <wp:effectExtent l="0" t="0" r="0" b="0"/>
          <wp:docPr id="13" name="Picture 12" descr="SFM-logo-web-v090220-OL-pos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SFM-logo-web-v090220-OL-pos-final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050" cy="564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A6"/>
    <w:rsid w:val="00135EB2"/>
    <w:rsid w:val="00144D5C"/>
    <w:rsid w:val="001A60A5"/>
    <w:rsid w:val="00204630"/>
    <w:rsid w:val="00235EF9"/>
    <w:rsid w:val="002746EB"/>
    <w:rsid w:val="002A0EBB"/>
    <w:rsid w:val="002E48E4"/>
    <w:rsid w:val="0038475C"/>
    <w:rsid w:val="003F3C78"/>
    <w:rsid w:val="004130B4"/>
    <w:rsid w:val="004456C3"/>
    <w:rsid w:val="00452080"/>
    <w:rsid w:val="0045704B"/>
    <w:rsid w:val="004D4FB0"/>
    <w:rsid w:val="005F0DA3"/>
    <w:rsid w:val="006641FD"/>
    <w:rsid w:val="006E3E3F"/>
    <w:rsid w:val="00741415"/>
    <w:rsid w:val="00770A87"/>
    <w:rsid w:val="0079124B"/>
    <w:rsid w:val="007C3151"/>
    <w:rsid w:val="007E0C7E"/>
    <w:rsid w:val="00960F6F"/>
    <w:rsid w:val="009B4E9E"/>
    <w:rsid w:val="009D6473"/>
    <w:rsid w:val="00BE0EA7"/>
    <w:rsid w:val="00C310E6"/>
    <w:rsid w:val="00D6349E"/>
    <w:rsid w:val="00D70C3F"/>
    <w:rsid w:val="00E057E0"/>
    <w:rsid w:val="00E320A6"/>
    <w:rsid w:val="00E87A51"/>
    <w:rsid w:val="00EB05C9"/>
    <w:rsid w:val="00EB0A87"/>
    <w:rsid w:val="00EB6267"/>
    <w:rsid w:val="00FB6EEA"/>
    <w:rsid w:val="00FC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432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0A6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20A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A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A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0A8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70A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7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0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DA3"/>
  </w:style>
  <w:style w:type="paragraph" w:styleId="Footer">
    <w:name w:val="footer"/>
    <w:basedOn w:val="Normal"/>
    <w:link w:val="FooterChar"/>
    <w:uiPriority w:val="99"/>
    <w:unhideWhenUsed/>
    <w:rsid w:val="005F0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D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0A6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20A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A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A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0A8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70A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7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0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DA3"/>
  </w:style>
  <w:style w:type="paragraph" w:styleId="Footer">
    <w:name w:val="footer"/>
    <w:basedOn w:val="Normal"/>
    <w:link w:val="FooterChar"/>
    <w:uiPriority w:val="99"/>
    <w:unhideWhenUsed/>
    <w:rsid w:val="005F0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bit.ly/sfm-vod-0420" TargetMode="External"/><Relationship Id="rId8" Type="http://schemas.openxmlformats.org/officeDocument/2006/relationships/hyperlink" Target="https://bit.ly/sfm-vod-0420" TargetMode="External"/><Relationship Id="rId9" Type="http://schemas.openxmlformats.org/officeDocument/2006/relationships/hyperlink" Target="https://help.netflix.com/en/node/2064" TargetMode="External"/><Relationship Id="rId1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.wikipedia.org/wiki/List_of_original_programs_distributed_by_Netflix" TargetMode="External"/><Relationship Id="rId2" Type="http://schemas.openxmlformats.org/officeDocument/2006/relationships/hyperlink" Target="https://bit.ly/sfm-vod-0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Polansky</dc:creator>
  <cp:keywords/>
  <dc:description/>
  <cp:lastModifiedBy>Jeremiah Mock</cp:lastModifiedBy>
  <cp:revision>6</cp:revision>
  <dcterms:created xsi:type="dcterms:W3CDTF">2020-04-14T20:42:00Z</dcterms:created>
  <dcterms:modified xsi:type="dcterms:W3CDTF">2021-03-25T17:33:00Z</dcterms:modified>
</cp:coreProperties>
</file>