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FF127" w14:textId="77777777" w:rsidR="005549AA" w:rsidRDefault="00E927ED">
      <w:pPr>
        <w:pStyle w:val="Heading1"/>
        <w:tabs>
          <w:tab w:val="clear" w:pos="6930"/>
          <w:tab w:val="left" w:pos="5760"/>
        </w:tabs>
        <w:rPr>
          <w:b w:val="0"/>
          <w:bCs w:val="0"/>
          <w:iCs/>
          <w:sz w:val="18"/>
          <w:szCs w:val="18"/>
        </w:rPr>
      </w:pPr>
      <w:r>
        <w:rPr>
          <w:b w:val="0"/>
          <w:bCs w:val="0"/>
          <w:iCs/>
          <w:caps/>
          <w:sz w:val="18"/>
          <w:szCs w:val="18"/>
        </w:rPr>
        <w:t xml:space="preserve">stanton a. glantz, </w:t>
      </w:r>
      <w:r>
        <w:rPr>
          <w:b w:val="0"/>
          <w:bCs w:val="0"/>
          <w:iCs/>
          <w:sz w:val="18"/>
          <w:szCs w:val="18"/>
        </w:rPr>
        <w:t>PhD</w:t>
      </w:r>
      <w:r w:rsidR="005549AA">
        <w:rPr>
          <w:b w:val="0"/>
          <w:bCs w:val="0"/>
          <w:iCs/>
          <w:caps/>
          <w:sz w:val="18"/>
          <w:szCs w:val="18"/>
        </w:rPr>
        <w:tab/>
      </w:r>
      <w:r w:rsidR="005549AA">
        <w:rPr>
          <w:b w:val="0"/>
          <w:bCs w:val="0"/>
          <w:iCs/>
          <w:caps/>
          <w:sz w:val="18"/>
          <w:szCs w:val="18"/>
        </w:rPr>
        <w:tab/>
      </w:r>
      <w:r w:rsidRPr="00E927ED">
        <w:rPr>
          <w:b w:val="0"/>
          <w:bCs w:val="0"/>
          <w:iCs/>
          <w:caps/>
          <w:sz w:val="18"/>
          <w:szCs w:val="18"/>
        </w:rPr>
        <w:t xml:space="preserve">530 </w:t>
      </w:r>
      <w:r w:rsidR="007F561A">
        <w:rPr>
          <w:b w:val="0"/>
          <w:bCs w:val="0"/>
          <w:iCs/>
          <w:sz w:val="18"/>
          <w:szCs w:val="18"/>
        </w:rPr>
        <w:t xml:space="preserve">Parnassus, </w:t>
      </w:r>
      <w:r w:rsidRPr="00E927ED">
        <w:rPr>
          <w:b w:val="0"/>
          <w:bCs w:val="0"/>
          <w:iCs/>
          <w:sz w:val="18"/>
          <w:szCs w:val="18"/>
        </w:rPr>
        <w:t xml:space="preserve">Suite </w:t>
      </w:r>
      <w:r w:rsidRPr="00E927ED">
        <w:rPr>
          <w:b w:val="0"/>
          <w:bCs w:val="0"/>
          <w:iCs/>
          <w:caps/>
          <w:sz w:val="18"/>
          <w:szCs w:val="18"/>
        </w:rPr>
        <w:t>366</w:t>
      </w:r>
    </w:p>
    <w:p w14:paraId="01E34E12" w14:textId="77777777" w:rsidR="005549AA" w:rsidRDefault="005549AA">
      <w:pPr>
        <w:pStyle w:val="Heading1"/>
        <w:tabs>
          <w:tab w:val="clear" w:pos="6930"/>
          <w:tab w:val="left" w:pos="5760"/>
        </w:tabs>
        <w:rPr>
          <w:b w:val="0"/>
          <w:bCs w:val="0"/>
          <w:iCs/>
          <w:sz w:val="18"/>
          <w:szCs w:val="18"/>
        </w:rPr>
      </w:pPr>
      <w:r>
        <w:rPr>
          <w:b w:val="0"/>
          <w:bCs w:val="0"/>
          <w:iCs/>
          <w:sz w:val="18"/>
          <w:szCs w:val="18"/>
        </w:rPr>
        <w:t xml:space="preserve"> Professor of Medicine</w:t>
      </w:r>
      <w:r w:rsidR="00E927ED">
        <w:rPr>
          <w:b w:val="0"/>
          <w:bCs w:val="0"/>
          <w:iCs/>
          <w:sz w:val="18"/>
          <w:szCs w:val="18"/>
        </w:rPr>
        <w:t xml:space="preserve"> (Cardiology)</w:t>
      </w:r>
      <w:r>
        <w:rPr>
          <w:b w:val="0"/>
          <w:bCs w:val="0"/>
          <w:iCs/>
          <w:sz w:val="18"/>
          <w:szCs w:val="18"/>
        </w:rPr>
        <w:tab/>
      </w:r>
      <w:r>
        <w:rPr>
          <w:b w:val="0"/>
          <w:bCs w:val="0"/>
          <w:iCs/>
          <w:sz w:val="18"/>
          <w:szCs w:val="18"/>
        </w:rPr>
        <w:tab/>
      </w:r>
      <w:r w:rsidR="00E927ED">
        <w:rPr>
          <w:b w:val="0"/>
          <w:bCs w:val="0"/>
          <w:iCs/>
          <w:sz w:val="18"/>
          <w:szCs w:val="18"/>
        </w:rPr>
        <w:t>San Francisco, CA 94143-1390</w:t>
      </w:r>
    </w:p>
    <w:p w14:paraId="0836C768" w14:textId="77777777" w:rsidR="005549AA" w:rsidRPr="00E927ED" w:rsidRDefault="004E5119">
      <w:pPr>
        <w:pStyle w:val="Header"/>
        <w:tabs>
          <w:tab w:val="clear" w:pos="4320"/>
          <w:tab w:val="clear" w:pos="8640"/>
          <w:tab w:val="left" w:pos="5760"/>
        </w:tabs>
        <w:rPr>
          <w:bCs/>
          <w:iCs/>
          <w:caps/>
          <w:sz w:val="18"/>
          <w:szCs w:val="18"/>
        </w:rPr>
      </w:pPr>
      <w:r>
        <w:rPr>
          <w:szCs w:val="24"/>
          <w:lang w:val="en-CA"/>
        </w:rPr>
        <w:fldChar w:fldCharType="begin"/>
      </w:r>
      <w:r w:rsidR="00E927ED">
        <w:rPr>
          <w:szCs w:val="24"/>
          <w:lang w:val="en-CA"/>
        </w:rPr>
        <w:instrText xml:space="preserve"> SEQ CHAPTER \h \r 1</w:instrText>
      </w:r>
      <w:r>
        <w:rPr>
          <w:szCs w:val="24"/>
          <w:lang w:val="en-CA"/>
        </w:rPr>
        <w:fldChar w:fldCharType="end"/>
      </w:r>
      <w:r w:rsidR="00E927ED">
        <w:rPr>
          <w:sz w:val="18"/>
          <w:szCs w:val="18"/>
        </w:rPr>
        <w:t>American Legacy Foundation Distinguished Professor of Tobacco Control</w:t>
      </w:r>
      <w:r w:rsidR="005549AA">
        <w:rPr>
          <w:bCs/>
          <w:iCs/>
          <w:sz w:val="18"/>
          <w:szCs w:val="18"/>
        </w:rPr>
        <w:tab/>
      </w:r>
      <w:r w:rsidR="00E927ED">
        <w:rPr>
          <w:b/>
          <w:bCs/>
          <w:iCs/>
          <w:sz w:val="18"/>
          <w:szCs w:val="18"/>
        </w:rPr>
        <w:tab/>
      </w:r>
      <w:r w:rsidR="00E927ED">
        <w:rPr>
          <w:bCs/>
          <w:iCs/>
          <w:sz w:val="18"/>
          <w:szCs w:val="18"/>
        </w:rPr>
        <w:t>Phone: (415) 476-3893</w:t>
      </w:r>
    </w:p>
    <w:p w14:paraId="388CA378" w14:textId="77777777" w:rsidR="005549AA" w:rsidRDefault="004E5119">
      <w:pPr>
        <w:pStyle w:val="Header"/>
        <w:tabs>
          <w:tab w:val="clear" w:pos="4320"/>
          <w:tab w:val="clear" w:pos="8640"/>
          <w:tab w:val="left" w:pos="5760"/>
        </w:tabs>
        <w:rPr>
          <w:b/>
          <w:bCs/>
          <w:iCs/>
          <w:sz w:val="18"/>
          <w:szCs w:val="18"/>
          <w:lang w:val="es-GT"/>
        </w:rPr>
      </w:pPr>
      <w:r>
        <w:rPr>
          <w:szCs w:val="24"/>
          <w:lang w:val="en-CA"/>
        </w:rPr>
        <w:fldChar w:fldCharType="begin"/>
      </w:r>
      <w:r w:rsidR="00E927ED">
        <w:rPr>
          <w:szCs w:val="24"/>
          <w:lang w:val="en-CA"/>
        </w:rPr>
        <w:instrText xml:space="preserve"> SEQ CHAPTER \h \r 1</w:instrText>
      </w:r>
      <w:r>
        <w:rPr>
          <w:szCs w:val="24"/>
          <w:lang w:val="en-CA"/>
        </w:rPr>
        <w:fldChar w:fldCharType="end"/>
      </w:r>
      <w:r w:rsidR="00E927ED">
        <w:rPr>
          <w:sz w:val="18"/>
          <w:szCs w:val="18"/>
        </w:rPr>
        <w:t>Director, Center for Tobacco Control Research and Education</w:t>
      </w:r>
      <w:r w:rsidR="005549AA">
        <w:rPr>
          <w:bCs/>
          <w:iCs/>
          <w:caps/>
          <w:sz w:val="18"/>
          <w:szCs w:val="18"/>
          <w:lang w:val="es-GT"/>
        </w:rPr>
        <w:tab/>
      </w:r>
      <w:r w:rsidR="007F561A">
        <w:rPr>
          <w:bCs/>
          <w:iCs/>
          <w:sz w:val="18"/>
          <w:szCs w:val="18"/>
          <w:lang w:val="es-GT"/>
        </w:rPr>
        <w:tab/>
        <w:t xml:space="preserve">Fax: </w:t>
      </w:r>
      <w:r w:rsidR="00E927ED">
        <w:rPr>
          <w:bCs/>
          <w:iCs/>
          <w:sz w:val="18"/>
          <w:szCs w:val="18"/>
          <w:lang w:val="es-GT"/>
        </w:rPr>
        <w:t>(415) 514-9345</w:t>
      </w:r>
    </w:p>
    <w:p w14:paraId="06681665" w14:textId="77777777" w:rsidR="005549AA" w:rsidRDefault="004E5119">
      <w:pPr>
        <w:tabs>
          <w:tab w:val="left" w:pos="5760"/>
        </w:tabs>
        <w:rPr>
          <w:sz w:val="18"/>
          <w:szCs w:val="18"/>
        </w:rPr>
      </w:pPr>
      <w:r>
        <w:rPr>
          <w:szCs w:val="24"/>
          <w:lang w:val="en-CA"/>
        </w:rPr>
        <w:fldChar w:fldCharType="begin"/>
      </w:r>
      <w:r w:rsidR="00E927ED">
        <w:rPr>
          <w:szCs w:val="24"/>
          <w:lang w:val="en-CA"/>
        </w:rPr>
        <w:instrText xml:space="preserve"> SEQ CHAPTER \h \r 1</w:instrText>
      </w:r>
      <w:r>
        <w:rPr>
          <w:szCs w:val="24"/>
          <w:lang w:val="en-CA"/>
        </w:rPr>
        <w:fldChar w:fldCharType="end"/>
      </w:r>
      <w:r w:rsidR="005549AA">
        <w:rPr>
          <w:sz w:val="18"/>
          <w:szCs w:val="18"/>
          <w:lang w:val="es-GT"/>
        </w:rPr>
        <w:tab/>
      </w:r>
      <w:r w:rsidR="005549AA">
        <w:rPr>
          <w:sz w:val="18"/>
          <w:szCs w:val="18"/>
          <w:lang w:val="es-GT"/>
        </w:rPr>
        <w:tab/>
      </w:r>
      <w:r w:rsidR="00E927ED" w:rsidRPr="00E927ED">
        <w:rPr>
          <w:sz w:val="18"/>
          <w:szCs w:val="18"/>
        </w:rPr>
        <w:t>glantz@medicine.ucsf.edu</w:t>
      </w:r>
    </w:p>
    <w:p w14:paraId="622FC2C8" w14:textId="46F6BBF4" w:rsidR="00483938" w:rsidRDefault="00E6069B" w:rsidP="00E927ED">
      <w:pPr>
        <w:tabs>
          <w:tab w:val="left" w:pos="720"/>
          <w:tab w:val="left" w:pos="5760"/>
        </w:tabs>
        <w:rPr>
          <w:szCs w:val="24"/>
          <w:lang w:val="en-CA"/>
        </w:rPr>
      </w:pPr>
      <w:r>
        <w:rPr>
          <w:szCs w:val="24"/>
          <w:lang w:val="en-CA"/>
        </w:rPr>
        <w:t>October 1, 201</w:t>
      </w:r>
      <w:r w:rsidR="00750D39">
        <w:rPr>
          <w:szCs w:val="24"/>
          <w:lang w:val="en-CA"/>
        </w:rPr>
        <w:t>6</w:t>
      </w:r>
    </w:p>
    <w:p w14:paraId="5D50654C" w14:textId="77777777" w:rsidR="00483938" w:rsidRDefault="00483938" w:rsidP="00E927ED">
      <w:pPr>
        <w:tabs>
          <w:tab w:val="left" w:pos="720"/>
          <w:tab w:val="left" w:pos="5760"/>
        </w:tabs>
        <w:rPr>
          <w:szCs w:val="24"/>
          <w:lang w:val="en-CA"/>
        </w:rPr>
      </w:pPr>
    </w:p>
    <w:p w14:paraId="704AEB00" w14:textId="77777777" w:rsidR="00483938" w:rsidRDefault="00483938" w:rsidP="00483938">
      <w:r>
        <w:rPr>
          <w:b/>
        </w:rPr>
        <w:t>THE COST OF A NEW SMOKER</w:t>
      </w:r>
    </w:p>
    <w:p w14:paraId="05264967" w14:textId="77777777" w:rsidR="00483938" w:rsidRDefault="00483938" w:rsidP="00483938"/>
    <w:p w14:paraId="28DAA533" w14:textId="77777777" w:rsidR="00483938" w:rsidRPr="0050051A" w:rsidRDefault="00483938" w:rsidP="00483938">
      <w:r>
        <w:t>We have used attributable risk calculations to estimate the number of new smokers recruited by motion pictures and several people have asked what the costs associated with these new smokers are.  This issue is particularly relevant when considering the cost/benefit ratio associated with state film subsidy programs.</w:t>
      </w:r>
    </w:p>
    <w:p w14:paraId="67005284" w14:textId="77777777" w:rsidR="00483938" w:rsidRDefault="00483938" w:rsidP="00483938"/>
    <w:p w14:paraId="126A8C9D" w14:textId="77777777" w:rsidR="00483938" w:rsidRDefault="00483938" w:rsidP="00483938">
      <w:r>
        <w:t>The most widely accepted estimate of the cost of the lifetime cos</w:t>
      </w:r>
      <w:r w:rsidR="00132959">
        <w:t xml:space="preserve">ts for a new smoker is from </w:t>
      </w:r>
      <w:r w:rsidRPr="0050051A">
        <w:rPr>
          <w:i/>
        </w:rPr>
        <w:t>The Price of Smoking</w:t>
      </w:r>
      <w:r>
        <w:rPr>
          <w:i/>
        </w:rPr>
        <w:t xml:space="preserve">, </w:t>
      </w:r>
      <w:r>
        <w:t xml:space="preserve">by Frank Sloan, et al. (Cambridge, MA, MIT Press, 2004).  </w:t>
      </w:r>
    </w:p>
    <w:p w14:paraId="1CA123C7" w14:textId="77777777" w:rsidR="00483938" w:rsidRDefault="00483938" w:rsidP="00483938"/>
    <w:p w14:paraId="6CE63A5E" w14:textId="77777777" w:rsidR="00483938" w:rsidRDefault="00483938" w:rsidP="00AC2908">
      <w:r>
        <w:t>Sloan and colleagues produced a comprehensive analysis (as of 2000) of the effects of smoking on a number of effects, including health costs, mortality and morbidity costs, effects on Social Security and private retire</w:t>
      </w:r>
      <w:r w:rsidR="007F561A">
        <w:t xml:space="preserve">ment systems, and other costs. </w:t>
      </w:r>
      <w:r>
        <w:t>They also accounted for the effect on cost of people quitting smoking and the fact that people who die early because of smoking do not incur health or re</w:t>
      </w:r>
      <w:r w:rsidR="007F561A">
        <w:t xml:space="preserve">tirement costs after they die. </w:t>
      </w:r>
      <w:r>
        <w:t>These cash flows were discounted at 3% per year to estimate the present values of lifetime costs (and cost savings due to things like early death) for a 24</w:t>
      </w:r>
      <w:r w:rsidR="007F561A">
        <w:t xml:space="preserve">-year-old smoker. </w:t>
      </w:r>
      <w:r>
        <w:t>(They selected 24 as a starting point to avoid the complications of youthful experimentation that does not lead to established smoking and the fact that few of the health and other costs of smoking are incurred by people under that age.)</w:t>
      </w:r>
      <w:r w:rsidR="00AC2908">
        <w:t xml:space="preserve">  The cost data are based on the 1990s. </w:t>
      </w:r>
    </w:p>
    <w:p w14:paraId="575A2760" w14:textId="77777777" w:rsidR="00483938" w:rsidRDefault="00483938" w:rsidP="00483938"/>
    <w:p w14:paraId="38A57833" w14:textId="77777777" w:rsidR="00483938" w:rsidRDefault="00483938" w:rsidP="00483938">
      <w:r>
        <w:t>Despite the limitations of their methods, their findings are still useful for estimating the impacts of creating a new smoker.</w:t>
      </w:r>
    </w:p>
    <w:p w14:paraId="3F010CB3" w14:textId="77777777" w:rsidR="00483938" w:rsidRDefault="00483938" w:rsidP="00483938"/>
    <w:p w14:paraId="26511681" w14:textId="77777777" w:rsidR="00483938" w:rsidRDefault="00483938" w:rsidP="00483938">
      <w:r>
        <w:t xml:space="preserve">We use Sloan et al.’s estimates to develop </w:t>
      </w:r>
      <w:r w:rsidR="00AC2908">
        <w:t>two</w:t>
      </w:r>
      <w:r>
        <w:t xml:space="preserve"> values for the cost to society of a new smoker:</w:t>
      </w:r>
    </w:p>
    <w:p w14:paraId="0FD926C9" w14:textId="77777777" w:rsidR="00483938" w:rsidRDefault="00483938" w:rsidP="00483938"/>
    <w:p w14:paraId="18B1B148" w14:textId="77777777" w:rsidR="00483938" w:rsidRDefault="00483938" w:rsidP="00483938">
      <w:pPr>
        <w:pStyle w:val="ListParagraph"/>
        <w:numPr>
          <w:ilvl w:val="0"/>
          <w:numId w:val="5"/>
        </w:numPr>
        <w:jc w:val="left"/>
      </w:pPr>
      <w:r>
        <w:t>The total lifetime costs of direct medical services</w:t>
      </w:r>
      <w:r w:rsidR="00E6069B">
        <w:t>, including those due to the secondhand smoke that the smoker generates</w:t>
      </w:r>
      <w:r>
        <w:t>.</w:t>
      </w:r>
    </w:p>
    <w:p w14:paraId="73EADCD6" w14:textId="77777777" w:rsidR="00483938" w:rsidRDefault="00483938" w:rsidP="00483938">
      <w:pPr>
        <w:pStyle w:val="ListParagraph"/>
        <w:numPr>
          <w:ilvl w:val="0"/>
          <w:numId w:val="5"/>
        </w:numPr>
        <w:jc w:val="left"/>
      </w:pPr>
      <w:r>
        <w:t>Costs of medical services consumed through age 50, under the logic that shorter term costs are more important to policy makers than complete lifetime costs.</w:t>
      </w:r>
    </w:p>
    <w:p w14:paraId="1426FB1A" w14:textId="77777777" w:rsidR="00483938" w:rsidRDefault="00483938" w:rsidP="00483938"/>
    <w:p w14:paraId="367BC393" w14:textId="4C1AD49D" w:rsidR="00483938" w:rsidRDefault="00483938" w:rsidP="00483938">
      <w:r>
        <w:t>Sloan et al. provi</w:t>
      </w:r>
      <w:r w:rsidR="007F561A">
        <w:t xml:space="preserve">de costs in year 2000 dollars. </w:t>
      </w:r>
      <w:r>
        <w:t xml:space="preserve">We adjusted total medical costs to </w:t>
      </w:r>
      <w:r w:rsidR="00E6069B">
        <w:t>August 201</w:t>
      </w:r>
      <w:r w:rsidR="00750D39">
        <w:t>6</w:t>
      </w:r>
      <w:r>
        <w:t xml:space="preserve"> dollars </w:t>
      </w:r>
      <w:r w:rsidR="00E6069B">
        <w:t xml:space="preserve">(the most recent data available) </w:t>
      </w:r>
      <w:r>
        <w:t>using the Bureau of Labor Statistics hourly compensation index for total lifetime costs except for medical costs and the medical consumer price index for health care costs.</w:t>
      </w:r>
    </w:p>
    <w:p w14:paraId="450AC1E8" w14:textId="77777777" w:rsidR="00483938" w:rsidRDefault="00483938" w:rsidP="00483938"/>
    <w:p w14:paraId="48BDC383" w14:textId="77777777" w:rsidR="00483938" w:rsidRDefault="00483938" w:rsidP="00483938">
      <w:r>
        <w:t>The table below shows the results of these calculations, with references to the specific sources for the estimates in Sloan et al.’s book.</w:t>
      </w:r>
    </w:p>
    <w:p w14:paraId="33025773" w14:textId="77777777" w:rsidR="00483938" w:rsidRDefault="00483938" w:rsidP="0048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80"/>
        <w:gridCol w:w="2250"/>
        <w:gridCol w:w="2178"/>
      </w:tblGrid>
      <w:tr w:rsidR="00483938" w:rsidRPr="0010789A" w14:paraId="1B41C556" w14:textId="77777777" w:rsidTr="007F561A">
        <w:trPr>
          <w:trHeight w:val="701"/>
        </w:trPr>
        <w:tc>
          <w:tcPr>
            <w:tcW w:w="9576" w:type="dxa"/>
            <w:gridSpan w:val="4"/>
            <w:vAlign w:val="center"/>
          </w:tcPr>
          <w:p w14:paraId="7BE1AEF7" w14:textId="77777777" w:rsidR="007F561A" w:rsidRDefault="00483938" w:rsidP="00E43226">
            <w:pPr>
              <w:rPr>
                <w:rFonts w:ascii="Calibri" w:hAnsi="Calibri"/>
                <w:b/>
              </w:rPr>
            </w:pPr>
            <w:r w:rsidRPr="007F561A">
              <w:rPr>
                <w:rFonts w:ascii="Calibri" w:hAnsi="Calibri"/>
                <w:b/>
              </w:rPr>
              <w:lastRenderedPageBreak/>
              <w:t>Discounted P</w:t>
            </w:r>
            <w:r w:rsidR="007F561A">
              <w:rPr>
                <w:rFonts w:ascii="Calibri" w:hAnsi="Calibri"/>
                <w:b/>
              </w:rPr>
              <w:t>resent Cost of Smoking for a 24-Year-</w:t>
            </w:r>
            <w:r w:rsidRPr="007F561A">
              <w:rPr>
                <w:rFonts w:ascii="Calibri" w:hAnsi="Calibri"/>
                <w:b/>
              </w:rPr>
              <w:t xml:space="preserve">Old Smoker </w:t>
            </w:r>
          </w:p>
          <w:p w14:paraId="1C0231EB" w14:textId="77777777" w:rsidR="00483938" w:rsidRPr="007F561A" w:rsidRDefault="00483938" w:rsidP="00E43226">
            <w:pPr>
              <w:rPr>
                <w:rFonts w:ascii="Calibri" w:hAnsi="Calibri"/>
                <w:b/>
              </w:rPr>
            </w:pPr>
            <w:r w:rsidRPr="007F561A">
              <w:rPr>
                <w:rFonts w:ascii="Calibri" w:hAnsi="Calibri"/>
                <w:b/>
              </w:rPr>
              <w:t xml:space="preserve">(from Sloan et al, </w:t>
            </w:r>
            <w:r w:rsidRPr="007F561A">
              <w:rPr>
                <w:rFonts w:ascii="Calibri" w:hAnsi="Calibri"/>
                <w:b/>
                <w:i/>
              </w:rPr>
              <w:t>The Price of Smoking</w:t>
            </w:r>
            <w:r w:rsidRPr="007F561A">
              <w:rPr>
                <w:rFonts w:ascii="Calibri" w:hAnsi="Calibri"/>
                <w:b/>
              </w:rPr>
              <w:t>)</w:t>
            </w:r>
          </w:p>
        </w:tc>
      </w:tr>
      <w:tr w:rsidR="00483938" w:rsidRPr="0010789A" w14:paraId="529B900F" w14:textId="77777777" w:rsidTr="007F561A">
        <w:trPr>
          <w:trHeight w:val="458"/>
        </w:trPr>
        <w:tc>
          <w:tcPr>
            <w:tcW w:w="3168" w:type="dxa"/>
            <w:tcBorders>
              <w:bottom w:val="single" w:sz="4" w:space="0" w:color="auto"/>
            </w:tcBorders>
            <w:vAlign w:val="center"/>
          </w:tcPr>
          <w:p w14:paraId="453C3A3A" w14:textId="77777777" w:rsidR="00483938" w:rsidRPr="007F561A" w:rsidRDefault="00483938" w:rsidP="00E43226">
            <w:pPr>
              <w:rPr>
                <w:rFonts w:ascii="Calibri" w:hAnsi="Calibri"/>
              </w:rPr>
            </w:pPr>
          </w:p>
        </w:tc>
        <w:tc>
          <w:tcPr>
            <w:tcW w:w="1980" w:type="dxa"/>
            <w:tcBorders>
              <w:bottom w:val="single" w:sz="4" w:space="0" w:color="auto"/>
            </w:tcBorders>
            <w:vAlign w:val="center"/>
          </w:tcPr>
          <w:p w14:paraId="32928F93" w14:textId="77777777" w:rsidR="00483938" w:rsidRPr="007F561A" w:rsidRDefault="00483938" w:rsidP="00E43226">
            <w:pPr>
              <w:jc w:val="center"/>
              <w:rPr>
                <w:rFonts w:ascii="Calibri" w:hAnsi="Calibri"/>
              </w:rPr>
            </w:pPr>
            <w:r w:rsidRPr="007F561A">
              <w:rPr>
                <w:rFonts w:ascii="Calibri" w:hAnsi="Calibri"/>
              </w:rPr>
              <w:t>Source</w:t>
            </w:r>
          </w:p>
        </w:tc>
        <w:tc>
          <w:tcPr>
            <w:tcW w:w="2250" w:type="dxa"/>
            <w:tcBorders>
              <w:bottom w:val="single" w:sz="4" w:space="0" w:color="auto"/>
            </w:tcBorders>
            <w:vAlign w:val="center"/>
          </w:tcPr>
          <w:p w14:paraId="3B9ABF56" w14:textId="77777777" w:rsidR="00483938" w:rsidRPr="007F561A" w:rsidRDefault="00483938" w:rsidP="00E43226">
            <w:pPr>
              <w:jc w:val="center"/>
              <w:rPr>
                <w:rFonts w:ascii="Calibri" w:hAnsi="Calibri"/>
              </w:rPr>
            </w:pPr>
            <w:r w:rsidRPr="007F561A">
              <w:rPr>
                <w:rFonts w:ascii="Calibri" w:hAnsi="Calibri"/>
              </w:rPr>
              <w:t>Year 2000 dollars</w:t>
            </w:r>
          </w:p>
        </w:tc>
        <w:tc>
          <w:tcPr>
            <w:tcW w:w="2178" w:type="dxa"/>
            <w:tcBorders>
              <w:bottom w:val="single" w:sz="4" w:space="0" w:color="auto"/>
            </w:tcBorders>
            <w:vAlign w:val="center"/>
          </w:tcPr>
          <w:p w14:paraId="3AAB2447" w14:textId="4FE234B7" w:rsidR="00483938" w:rsidRPr="007F561A" w:rsidRDefault="00F50702" w:rsidP="00E43226">
            <w:pPr>
              <w:jc w:val="center"/>
              <w:rPr>
                <w:rFonts w:ascii="Calibri" w:hAnsi="Calibri"/>
              </w:rPr>
            </w:pPr>
            <w:r>
              <w:rPr>
                <w:rFonts w:ascii="Calibri" w:hAnsi="Calibri"/>
              </w:rPr>
              <w:t>Year 2016</w:t>
            </w:r>
            <w:bookmarkStart w:id="0" w:name="_GoBack"/>
            <w:bookmarkEnd w:id="0"/>
            <w:r w:rsidR="00483938" w:rsidRPr="007F561A">
              <w:rPr>
                <w:rFonts w:ascii="Calibri" w:hAnsi="Calibri"/>
              </w:rPr>
              <w:t xml:space="preserve"> dollars</w:t>
            </w:r>
            <w:r w:rsidR="00483938" w:rsidRPr="007F561A">
              <w:rPr>
                <w:rFonts w:ascii="Calibri" w:hAnsi="Calibri"/>
                <w:vertAlign w:val="superscript"/>
              </w:rPr>
              <w:t>a</w:t>
            </w:r>
          </w:p>
        </w:tc>
      </w:tr>
      <w:tr w:rsidR="00483938" w:rsidRPr="0010789A" w14:paraId="4BCE1DD2" w14:textId="77777777" w:rsidTr="007F561A">
        <w:tc>
          <w:tcPr>
            <w:tcW w:w="3168" w:type="dxa"/>
            <w:tcBorders>
              <w:top w:val="nil"/>
              <w:bottom w:val="nil"/>
              <w:right w:val="nil"/>
            </w:tcBorders>
            <w:vAlign w:val="center"/>
          </w:tcPr>
          <w:p w14:paraId="34F2683E" w14:textId="77777777" w:rsidR="007F561A" w:rsidRDefault="007F561A" w:rsidP="00E43226">
            <w:pPr>
              <w:rPr>
                <w:rFonts w:ascii="Calibri" w:hAnsi="Calibri"/>
                <w:b/>
                <w:i/>
              </w:rPr>
            </w:pPr>
          </w:p>
          <w:p w14:paraId="5295CF5D" w14:textId="77777777" w:rsidR="00483938" w:rsidRPr="007F561A" w:rsidRDefault="00483938" w:rsidP="00E43226">
            <w:pPr>
              <w:rPr>
                <w:rFonts w:ascii="Calibri" w:hAnsi="Calibri"/>
                <w:b/>
                <w:i/>
              </w:rPr>
            </w:pPr>
            <w:r w:rsidRPr="007F561A">
              <w:rPr>
                <w:rFonts w:ascii="Calibri" w:hAnsi="Calibri"/>
                <w:b/>
                <w:i/>
              </w:rPr>
              <w:t>Lifetime medical costs</w:t>
            </w:r>
          </w:p>
        </w:tc>
        <w:tc>
          <w:tcPr>
            <w:tcW w:w="1980" w:type="dxa"/>
            <w:tcBorders>
              <w:top w:val="nil"/>
              <w:left w:val="nil"/>
              <w:bottom w:val="nil"/>
              <w:right w:val="nil"/>
            </w:tcBorders>
            <w:vAlign w:val="center"/>
          </w:tcPr>
          <w:p w14:paraId="58410F81" w14:textId="77777777" w:rsidR="00483938" w:rsidRPr="007F561A" w:rsidRDefault="00483938" w:rsidP="00E43226">
            <w:pPr>
              <w:jc w:val="center"/>
              <w:rPr>
                <w:rFonts w:ascii="Calibri" w:hAnsi="Calibri"/>
              </w:rPr>
            </w:pPr>
          </w:p>
        </w:tc>
        <w:tc>
          <w:tcPr>
            <w:tcW w:w="2250" w:type="dxa"/>
            <w:tcBorders>
              <w:top w:val="nil"/>
              <w:left w:val="nil"/>
              <w:bottom w:val="nil"/>
              <w:right w:val="nil"/>
            </w:tcBorders>
            <w:vAlign w:val="center"/>
          </w:tcPr>
          <w:p w14:paraId="52FCB735" w14:textId="77777777" w:rsidR="00483938" w:rsidRPr="0010789A" w:rsidRDefault="00483938" w:rsidP="00E43226">
            <w:pPr>
              <w:jc w:val="center"/>
            </w:pPr>
          </w:p>
        </w:tc>
        <w:tc>
          <w:tcPr>
            <w:tcW w:w="2178" w:type="dxa"/>
            <w:tcBorders>
              <w:top w:val="nil"/>
              <w:left w:val="nil"/>
              <w:bottom w:val="nil"/>
            </w:tcBorders>
            <w:vAlign w:val="center"/>
          </w:tcPr>
          <w:p w14:paraId="440D42F2" w14:textId="77777777" w:rsidR="00483938" w:rsidRPr="0010789A" w:rsidRDefault="00483938" w:rsidP="00E43226">
            <w:pPr>
              <w:jc w:val="center"/>
            </w:pPr>
          </w:p>
        </w:tc>
      </w:tr>
      <w:tr w:rsidR="00483938" w:rsidRPr="0010789A" w14:paraId="7322DA19" w14:textId="77777777" w:rsidTr="007F561A">
        <w:tc>
          <w:tcPr>
            <w:tcW w:w="3168" w:type="dxa"/>
            <w:tcBorders>
              <w:top w:val="nil"/>
              <w:bottom w:val="nil"/>
              <w:right w:val="nil"/>
            </w:tcBorders>
            <w:vAlign w:val="center"/>
          </w:tcPr>
          <w:p w14:paraId="3D5AEE4F" w14:textId="77777777" w:rsidR="00483938" w:rsidRPr="007F561A" w:rsidRDefault="00AC2908" w:rsidP="00AC2908">
            <w:pPr>
              <w:rPr>
                <w:rFonts w:ascii="Calibri" w:hAnsi="Calibri"/>
              </w:rPr>
            </w:pPr>
            <w:r w:rsidRPr="007F561A">
              <w:rPr>
                <w:rFonts w:ascii="Calibri" w:hAnsi="Calibri"/>
              </w:rPr>
              <w:t>Due to smoking</w:t>
            </w:r>
          </w:p>
        </w:tc>
        <w:tc>
          <w:tcPr>
            <w:tcW w:w="1980" w:type="dxa"/>
            <w:tcBorders>
              <w:top w:val="nil"/>
              <w:left w:val="nil"/>
              <w:bottom w:val="nil"/>
              <w:right w:val="nil"/>
            </w:tcBorders>
            <w:vAlign w:val="center"/>
          </w:tcPr>
          <w:p w14:paraId="6475318D" w14:textId="77777777" w:rsidR="00483938" w:rsidRPr="007F561A" w:rsidRDefault="00483938" w:rsidP="00E43226">
            <w:pPr>
              <w:jc w:val="center"/>
              <w:rPr>
                <w:rFonts w:ascii="Calibri" w:hAnsi="Calibri"/>
              </w:rPr>
            </w:pPr>
            <w:r w:rsidRPr="007F561A">
              <w:rPr>
                <w:rFonts w:ascii="Calibri" w:hAnsi="Calibri"/>
              </w:rPr>
              <w:t>Table 5.6</w:t>
            </w:r>
            <w:r w:rsidR="00050E1E" w:rsidRPr="007F561A">
              <w:rPr>
                <w:rFonts w:ascii="Calibri" w:hAnsi="Calibri"/>
                <w:vertAlign w:val="superscript"/>
              </w:rPr>
              <w:t>b</w:t>
            </w:r>
          </w:p>
        </w:tc>
        <w:tc>
          <w:tcPr>
            <w:tcW w:w="2250" w:type="dxa"/>
            <w:tcBorders>
              <w:top w:val="nil"/>
              <w:left w:val="nil"/>
              <w:bottom w:val="nil"/>
              <w:right w:val="nil"/>
            </w:tcBorders>
            <w:vAlign w:val="center"/>
          </w:tcPr>
          <w:p w14:paraId="7EFADACA" w14:textId="77777777" w:rsidR="00483938" w:rsidRPr="0010789A" w:rsidRDefault="00483938" w:rsidP="00E43226">
            <w:pPr>
              <w:jc w:val="center"/>
            </w:pPr>
            <w:r w:rsidRPr="0010789A">
              <w:t>$   3,187</w:t>
            </w:r>
          </w:p>
        </w:tc>
        <w:tc>
          <w:tcPr>
            <w:tcW w:w="2178" w:type="dxa"/>
            <w:tcBorders>
              <w:top w:val="nil"/>
              <w:left w:val="nil"/>
              <w:bottom w:val="nil"/>
            </w:tcBorders>
            <w:vAlign w:val="center"/>
          </w:tcPr>
          <w:p w14:paraId="78A87F26" w14:textId="77777777" w:rsidR="00483938" w:rsidRPr="0010789A" w:rsidRDefault="00483938" w:rsidP="00E43226">
            <w:pPr>
              <w:jc w:val="center"/>
            </w:pPr>
          </w:p>
        </w:tc>
      </w:tr>
      <w:tr w:rsidR="00483938" w:rsidRPr="0010789A" w14:paraId="177B8D12" w14:textId="77777777" w:rsidTr="007F561A">
        <w:tc>
          <w:tcPr>
            <w:tcW w:w="3168" w:type="dxa"/>
            <w:tcBorders>
              <w:top w:val="nil"/>
              <w:bottom w:val="nil"/>
              <w:right w:val="nil"/>
            </w:tcBorders>
            <w:vAlign w:val="center"/>
          </w:tcPr>
          <w:p w14:paraId="1B15F6AF" w14:textId="77777777" w:rsidR="00483938" w:rsidRPr="007F561A" w:rsidRDefault="00483938" w:rsidP="00E43226">
            <w:pPr>
              <w:rPr>
                <w:rFonts w:ascii="Calibri" w:hAnsi="Calibri"/>
              </w:rPr>
            </w:pPr>
            <w:r w:rsidRPr="007F561A">
              <w:rPr>
                <w:rFonts w:ascii="Calibri" w:hAnsi="Calibri"/>
              </w:rPr>
              <w:t>Due to secondhand smoke</w:t>
            </w:r>
          </w:p>
        </w:tc>
        <w:tc>
          <w:tcPr>
            <w:tcW w:w="1980" w:type="dxa"/>
            <w:tcBorders>
              <w:top w:val="nil"/>
              <w:left w:val="nil"/>
              <w:bottom w:val="nil"/>
              <w:right w:val="nil"/>
            </w:tcBorders>
            <w:vAlign w:val="center"/>
          </w:tcPr>
          <w:p w14:paraId="34A545F5" w14:textId="77777777" w:rsidR="00483938" w:rsidRPr="007F561A" w:rsidRDefault="00E6069B" w:rsidP="00E43226">
            <w:pPr>
              <w:jc w:val="center"/>
              <w:rPr>
                <w:rFonts w:ascii="Calibri" w:hAnsi="Calibri"/>
              </w:rPr>
            </w:pPr>
            <w:r w:rsidRPr="007F561A">
              <w:rPr>
                <w:rFonts w:ascii="Calibri" w:hAnsi="Calibri"/>
              </w:rPr>
              <w:t>Table 11.2</w:t>
            </w:r>
          </w:p>
        </w:tc>
        <w:tc>
          <w:tcPr>
            <w:tcW w:w="2250" w:type="dxa"/>
            <w:tcBorders>
              <w:top w:val="nil"/>
              <w:left w:val="nil"/>
              <w:bottom w:val="nil"/>
              <w:right w:val="nil"/>
            </w:tcBorders>
            <w:vAlign w:val="center"/>
          </w:tcPr>
          <w:p w14:paraId="43798C30" w14:textId="77777777" w:rsidR="00483938" w:rsidRPr="0010789A" w:rsidRDefault="00483938" w:rsidP="00E43226">
            <w:pPr>
              <w:jc w:val="center"/>
            </w:pPr>
            <w:r>
              <w:t xml:space="preserve">$      604 </w:t>
            </w:r>
          </w:p>
        </w:tc>
        <w:tc>
          <w:tcPr>
            <w:tcW w:w="2178" w:type="dxa"/>
            <w:tcBorders>
              <w:top w:val="nil"/>
              <w:left w:val="nil"/>
              <w:bottom w:val="nil"/>
            </w:tcBorders>
            <w:vAlign w:val="center"/>
          </w:tcPr>
          <w:p w14:paraId="2903F284" w14:textId="77777777" w:rsidR="00483938" w:rsidRPr="0010789A" w:rsidRDefault="00483938" w:rsidP="00E43226">
            <w:pPr>
              <w:jc w:val="center"/>
            </w:pPr>
          </w:p>
        </w:tc>
      </w:tr>
      <w:tr w:rsidR="00483938" w:rsidRPr="0010789A" w14:paraId="0FB6B922" w14:textId="77777777" w:rsidTr="007F561A">
        <w:tc>
          <w:tcPr>
            <w:tcW w:w="3168" w:type="dxa"/>
            <w:tcBorders>
              <w:top w:val="nil"/>
              <w:bottom w:val="nil"/>
              <w:right w:val="nil"/>
            </w:tcBorders>
            <w:vAlign w:val="center"/>
          </w:tcPr>
          <w:p w14:paraId="79DF9A37" w14:textId="77777777" w:rsidR="00483938" w:rsidRPr="007F561A" w:rsidRDefault="00483938" w:rsidP="00E43226">
            <w:pPr>
              <w:rPr>
                <w:rFonts w:ascii="Calibri" w:hAnsi="Calibri"/>
              </w:rPr>
            </w:pPr>
            <w:r w:rsidRPr="007F561A">
              <w:rPr>
                <w:rFonts w:ascii="Calibri" w:hAnsi="Calibri"/>
              </w:rPr>
              <w:t>Total</w:t>
            </w:r>
          </w:p>
        </w:tc>
        <w:tc>
          <w:tcPr>
            <w:tcW w:w="1980" w:type="dxa"/>
            <w:tcBorders>
              <w:top w:val="nil"/>
              <w:left w:val="nil"/>
              <w:bottom w:val="nil"/>
              <w:right w:val="nil"/>
            </w:tcBorders>
            <w:vAlign w:val="center"/>
          </w:tcPr>
          <w:p w14:paraId="122C3668" w14:textId="77777777" w:rsidR="00483938" w:rsidRPr="007F561A" w:rsidRDefault="00483938" w:rsidP="00E43226">
            <w:pPr>
              <w:jc w:val="center"/>
              <w:rPr>
                <w:rFonts w:ascii="Calibri" w:hAnsi="Calibri"/>
              </w:rPr>
            </w:pPr>
          </w:p>
        </w:tc>
        <w:tc>
          <w:tcPr>
            <w:tcW w:w="2250" w:type="dxa"/>
            <w:tcBorders>
              <w:top w:val="nil"/>
              <w:left w:val="nil"/>
              <w:bottom w:val="nil"/>
              <w:right w:val="nil"/>
            </w:tcBorders>
            <w:vAlign w:val="center"/>
          </w:tcPr>
          <w:p w14:paraId="452FE229" w14:textId="77777777" w:rsidR="00483938" w:rsidRPr="0010789A" w:rsidRDefault="00E6069B" w:rsidP="00E43226">
            <w:pPr>
              <w:jc w:val="center"/>
            </w:pPr>
            <w:r>
              <w:t>$   3,791</w:t>
            </w:r>
          </w:p>
        </w:tc>
        <w:tc>
          <w:tcPr>
            <w:tcW w:w="2178" w:type="dxa"/>
            <w:tcBorders>
              <w:top w:val="nil"/>
              <w:left w:val="nil"/>
              <w:bottom w:val="nil"/>
            </w:tcBorders>
            <w:vAlign w:val="center"/>
          </w:tcPr>
          <w:p w14:paraId="59042971" w14:textId="3C5B70B7" w:rsidR="00483938" w:rsidRPr="0010789A" w:rsidRDefault="00050E1E" w:rsidP="00750D39">
            <w:pPr>
              <w:jc w:val="center"/>
            </w:pPr>
            <w:r>
              <w:t>$</w:t>
            </w:r>
            <w:r w:rsidR="0003717F">
              <w:t>6,</w:t>
            </w:r>
            <w:r w:rsidR="00750D39">
              <w:t>810</w:t>
            </w:r>
          </w:p>
        </w:tc>
      </w:tr>
      <w:tr w:rsidR="00E6069B" w:rsidRPr="0010789A" w14:paraId="0057FEF2" w14:textId="77777777" w:rsidTr="007F561A">
        <w:tc>
          <w:tcPr>
            <w:tcW w:w="3168" w:type="dxa"/>
            <w:tcBorders>
              <w:top w:val="nil"/>
              <w:bottom w:val="nil"/>
              <w:right w:val="nil"/>
            </w:tcBorders>
            <w:vAlign w:val="center"/>
          </w:tcPr>
          <w:p w14:paraId="6FE90219" w14:textId="77777777" w:rsidR="00E6069B" w:rsidRPr="007F561A" w:rsidRDefault="00E6069B" w:rsidP="00E43226">
            <w:pPr>
              <w:rPr>
                <w:rFonts w:ascii="Calibri" w:hAnsi="Calibri"/>
              </w:rPr>
            </w:pPr>
          </w:p>
        </w:tc>
        <w:tc>
          <w:tcPr>
            <w:tcW w:w="1980" w:type="dxa"/>
            <w:tcBorders>
              <w:top w:val="nil"/>
              <w:left w:val="nil"/>
              <w:bottom w:val="nil"/>
              <w:right w:val="nil"/>
            </w:tcBorders>
            <w:vAlign w:val="center"/>
          </w:tcPr>
          <w:p w14:paraId="5902747D" w14:textId="77777777" w:rsidR="00E6069B" w:rsidRPr="007F561A" w:rsidRDefault="00E6069B" w:rsidP="00E43226">
            <w:pPr>
              <w:jc w:val="center"/>
              <w:rPr>
                <w:rFonts w:ascii="Calibri" w:hAnsi="Calibri"/>
              </w:rPr>
            </w:pPr>
          </w:p>
        </w:tc>
        <w:tc>
          <w:tcPr>
            <w:tcW w:w="2250" w:type="dxa"/>
            <w:tcBorders>
              <w:top w:val="nil"/>
              <w:left w:val="nil"/>
              <w:bottom w:val="nil"/>
              <w:right w:val="nil"/>
            </w:tcBorders>
            <w:vAlign w:val="center"/>
          </w:tcPr>
          <w:p w14:paraId="4E3BBF8B" w14:textId="77777777" w:rsidR="00E6069B" w:rsidRPr="0010789A" w:rsidRDefault="00E6069B" w:rsidP="00E43226">
            <w:pPr>
              <w:jc w:val="center"/>
            </w:pPr>
          </w:p>
        </w:tc>
        <w:tc>
          <w:tcPr>
            <w:tcW w:w="2178" w:type="dxa"/>
            <w:tcBorders>
              <w:top w:val="nil"/>
              <w:left w:val="nil"/>
              <w:bottom w:val="nil"/>
            </w:tcBorders>
            <w:vAlign w:val="center"/>
          </w:tcPr>
          <w:p w14:paraId="6530130E" w14:textId="77777777" w:rsidR="00E6069B" w:rsidRPr="0010789A" w:rsidRDefault="00E6069B" w:rsidP="00E43226">
            <w:pPr>
              <w:jc w:val="center"/>
            </w:pPr>
          </w:p>
        </w:tc>
      </w:tr>
      <w:tr w:rsidR="00483938" w:rsidRPr="0010789A" w14:paraId="68FB07F1" w14:textId="77777777" w:rsidTr="007F561A">
        <w:tc>
          <w:tcPr>
            <w:tcW w:w="3168" w:type="dxa"/>
            <w:tcBorders>
              <w:top w:val="nil"/>
              <w:bottom w:val="nil"/>
              <w:right w:val="nil"/>
            </w:tcBorders>
            <w:vAlign w:val="center"/>
          </w:tcPr>
          <w:p w14:paraId="4ADC2AE2" w14:textId="77777777" w:rsidR="00483938" w:rsidRPr="007F561A" w:rsidRDefault="00483938" w:rsidP="00E43226">
            <w:pPr>
              <w:rPr>
                <w:rFonts w:ascii="Calibri" w:hAnsi="Calibri"/>
                <w:b/>
                <w:i/>
              </w:rPr>
            </w:pPr>
            <w:r w:rsidRPr="007F561A">
              <w:rPr>
                <w:rFonts w:ascii="Calibri" w:hAnsi="Calibri"/>
                <w:b/>
                <w:i/>
              </w:rPr>
              <w:t>Medical costs through age 50</w:t>
            </w:r>
          </w:p>
        </w:tc>
        <w:tc>
          <w:tcPr>
            <w:tcW w:w="1980" w:type="dxa"/>
            <w:tcBorders>
              <w:top w:val="nil"/>
              <w:left w:val="nil"/>
              <w:bottom w:val="nil"/>
              <w:right w:val="nil"/>
            </w:tcBorders>
            <w:vAlign w:val="center"/>
          </w:tcPr>
          <w:p w14:paraId="7B65F6F1" w14:textId="77777777" w:rsidR="00483938" w:rsidRPr="007F561A" w:rsidRDefault="00483938" w:rsidP="00E43226">
            <w:pPr>
              <w:jc w:val="center"/>
              <w:rPr>
                <w:rFonts w:ascii="Calibri" w:hAnsi="Calibri"/>
              </w:rPr>
            </w:pPr>
          </w:p>
        </w:tc>
        <w:tc>
          <w:tcPr>
            <w:tcW w:w="2250" w:type="dxa"/>
            <w:tcBorders>
              <w:top w:val="nil"/>
              <w:left w:val="nil"/>
              <w:bottom w:val="nil"/>
              <w:right w:val="nil"/>
            </w:tcBorders>
            <w:vAlign w:val="center"/>
          </w:tcPr>
          <w:p w14:paraId="11BF77C9" w14:textId="77777777" w:rsidR="00483938" w:rsidRPr="0010789A" w:rsidRDefault="00483938" w:rsidP="00E43226">
            <w:pPr>
              <w:jc w:val="center"/>
            </w:pPr>
          </w:p>
        </w:tc>
        <w:tc>
          <w:tcPr>
            <w:tcW w:w="2178" w:type="dxa"/>
            <w:tcBorders>
              <w:top w:val="nil"/>
              <w:left w:val="nil"/>
              <w:bottom w:val="nil"/>
            </w:tcBorders>
            <w:vAlign w:val="center"/>
          </w:tcPr>
          <w:p w14:paraId="796313C9" w14:textId="77777777" w:rsidR="00483938" w:rsidRPr="0010789A" w:rsidRDefault="00483938" w:rsidP="00E43226">
            <w:pPr>
              <w:jc w:val="center"/>
            </w:pPr>
          </w:p>
        </w:tc>
      </w:tr>
      <w:tr w:rsidR="00483938" w:rsidRPr="0010789A" w14:paraId="2A3A11A6" w14:textId="77777777" w:rsidTr="007F561A">
        <w:tc>
          <w:tcPr>
            <w:tcW w:w="3168" w:type="dxa"/>
            <w:tcBorders>
              <w:top w:val="nil"/>
              <w:bottom w:val="nil"/>
              <w:right w:val="nil"/>
            </w:tcBorders>
            <w:vAlign w:val="center"/>
          </w:tcPr>
          <w:p w14:paraId="016CA78F" w14:textId="77777777" w:rsidR="00483938" w:rsidRPr="007F561A" w:rsidRDefault="00AC2908" w:rsidP="00AC2908">
            <w:pPr>
              <w:rPr>
                <w:rFonts w:ascii="Calibri" w:hAnsi="Calibri"/>
              </w:rPr>
            </w:pPr>
            <w:r w:rsidRPr="007F561A">
              <w:rPr>
                <w:rFonts w:ascii="Calibri" w:hAnsi="Calibri"/>
              </w:rPr>
              <w:t xml:space="preserve">Due to </w:t>
            </w:r>
            <w:r w:rsidR="00483938" w:rsidRPr="007F561A">
              <w:rPr>
                <w:rFonts w:ascii="Calibri" w:hAnsi="Calibri"/>
              </w:rPr>
              <w:t>smok</w:t>
            </w:r>
            <w:r w:rsidRPr="007F561A">
              <w:rPr>
                <w:rFonts w:ascii="Calibri" w:hAnsi="Calibri"/>
              </w:rPr>
              <w:t>ing</w:t>
            </w:r>
          </w:p>
        </w:tc>
        <w:tc>
          <w:tcPr>
            <w:tcW w:w="1980" w:type="dxa"/>
            <w:tcBorders>
              <w:top w:val="nil"/>
              <w:left w:val="nil"/>
              <w:bottom w:val="nil"/>
              <w:right w:val="nil"/>
            </w:tcBorders>
            <w:vAlign w:val="center"/>
          </w:tcPr>
          <w:p w14:paraId="4064C7DB" w14:textId="77777777" w:rsidR="00483938" w:rsidRPr="007F561A" w:rsidRDefault="00483938" w:rsidP="00E43226">
            <w:pPr>
              <w:jc w:val="center"/>
              <w:rPr>
                <w:rFonts w:ascii="Calibri" w:hAnsi="Calibri"/>
              </w:rPr>
            </w:pPr>
            <w:r w:rsidRPr="007F561A">
              <w:rPr>
                <w:rFonts w:ascii="Calibri" w:hAnsi="Calibri"/>
              </w:rPr>
              <w:t>Table 5.6</w:t>
            </w:r>
            <w:r w:rsidR="00050E1E" w:rsidRPr="007F561A">
              <w:rPr>
                <w:rFonts w:ascii="Calibri" w:hAnsi="Calibri"/>
                <w:vertAlign w:val="superscript"/>
              </w:rPr>
              <w:t>b</w:t>
            </w:r>
          </w:p>
        </w:tc>
        <w:tc>
          <w:tcPr>
            <w:tcW w:w="2250" w:type="dxa"/>
            <w:tcBorders>
              <w:top w:val="nil"/>
              <w:left w:val="nil"/>
              <w:bottom w:val="nil"/>
              <w:right w:val="nil"/>
            </w:tcBorders>
            <w:vAlign w:val="center"/>
          </w:tcPr>
          <w:p w14:paraId="7553EB28" w14:textId="77777777" w:rsidR="00483938" w:rsidRPr="0010789A" w:rsidRDefault="00483938" w:rsidP="00E43226">
            <w:pPr>
              <w:jc w:val="center"/>
            </w:pPr>
            <w:r w:rsidRPr="0010789A">
              <w:t xml:space="preserve">$   </w:t>
            </w:r>
            <w:r>
              <w:t>5,206</w:t>
            </w:r>
          </w:p>
        </w:tc>
        <w:tc>
          <w:tcPr>
            <w:tcW w:w="2178" w:type="dxa"/>
            <w:tcBorders>
              <w:top w:val="nil"/>
              <w:left w:val="nil"/>
              <w:bottom w:val="nil"/>
            </w:tcBorders>
            <w:vAlign w:val="center"/>
          </w:tcPr>
          <w:p w14:paraId="2F715797" w14:textId="77777777" w:rsidR="00483938" w:rsidRPr="0010789A" w:rsidRDefault="00483938" w:rsidP="00E43226">
            <w:pPr>
              <w:jc w:val="center"/>
            </w:pPr>
          </w:p>
        </w:tc>
      </w:tr>
      <w:tr w:rsidR="00483938" w:rsidRPr="0010789A" w14:paraId="487AA5D9" w14:textId="77777777" w:rsidTr="007F561A">
        <w:tc>
          <w:tcPr>
            <w:tcW w:w="3168" w:type="dxa"/>
            <w:tcBorders>
              <w:top w:val="nil"/>
              <w:bottom w:val="nil"/>
              <w:right w:val="nil"/>
            </w:tcBorders>
            <w:vAlign w:val="center"/>
          </w:tcPr>
          <w:p w14:paraId="10C3E653" w14:textId="77777777" w:rsidR="00483938" w:rsidRPr="007F561A" w:rsidRDefault="00483938" w:rsidP="00E43226">
            <w:pPr>
              <w:rPr>
                <w:rFonts w:ascii="Calibri" w:hAnsi="Calibri"/>
              </w:rPr>
            </w:pPr>
            <w:r w:rsidRPr="007F561A">
              <w:rPr>
                <w:rFonts w:ascii="Calibri" w:hAnsi="Calibri"/>
              </w:rPr>
              <w:t>Due to secondhand smoke</w:t>
            </w:r>
          </w:p>
        </w:tc>
        <w:tc>
          <w:tcPr>
            <w:tcW w:w="1980" w:type="dxa"/>
            <w:tcBorders>
              <w:top w:val="nil"/>
              <w:left w:val="nil"/>
              <w:bottom w:val="nil"/>
              <w:right w:val="nil"/>
            </w:tcBorders>
            <w:vAlign w:val="center"/>
          </w:tcPr>
          <w:p w14:paraId="4667A989" w14:textId="77777777" w:rsidR="00483938" w:rsidRPr="007F561A" w:rsidRDefault="00E6069B" w:rsidP="00E43226">
            <w:pPr>
              <w:jc w:val="center"/>
              <w:rPr>
                <w:rFonts w:ascii="Calibri" w:hAnsi="Calibri"/>
              </w:rPr>
            </w:pPr>
            <w:r w:rsidRPr="007F561A">
              <w:rPr>
                <w:rFonts w:ascii="Calibri" w:hAnsi="Calibri"/>
              </w:rPr>
              <w:t>Table 11.2</w:t>
            </w:r>
          </w:p>
        </w:tc>
        <w:tc>
          <w:tcPr>
            <w:tcW w:w="2250" w:type="dxa"/>
            <w:tcBorders>
              <w:top w:val="nil"/>
              <w:left w:val="nil"/>
              <w:bottom w:val="nil"/>
              <w:right w:val="nil"/>
            </w:tcBorders>
            <w:vAlign w:val="center"/>
          </w:tcPr>
          <w:p w14:paraId="11DFCD21" w14:textId="77777777" w:rsidR="00483938" w:rsidRPr="0010789A" w:rsidRDefault="00483938" w:rsidP="00E43226">
            <w:pPr>
              <w:jc w:val="center"/>
            </w:pPr>
            <w:r>
              <w:t xml:space="preserve">$      604 </w:t>
            </w:r>
          </w:p>
        </w:tc>
        <w:tc>
          <w:tcPr>
            <w:tcW w:w="2178" w:type="dxa"/>
            <w:tcBorders>
              <w:top w:val="nil"/>
              <w:left w:val="nil"/>
              <w:bottom w:val="nil"/>
            </w:tcBorders>
            <w:vAlign w:val="center"/>
          </w:tcPr>
          <w:p w14:paraId="51CD3517" w14:textId="77777777" w:rsidR="00483938" w:rsidRPr="0010789A" w:rsidRDefault="00483938" w:rsidP="00E43226">
            <w:pPr>
              <w:jc w:val="center"/>
            </w:pPr>
          </w:p>
        </w:tc>
      </w:tr>
      <w:tr w:rsidR="00483938" w:rsidRPr="0010789A" w14:paraId="2BE96084" w14:textId="77777777" w:rsidTr="007F561A">
        <w:trPr>
          <w:trHeight w:val="315"/>
        </w:trPr>
        <w:tc>
          <w:tcPr>
            <w:tcW w:w="3168" w:type="dxa"/>
            <w:tcBorders>
              <w:top w:val="nil"/>
              <w:bottom w:val="nil"/>
              <w:right w:val="nil"/>
            </w:tcBorders>
            <w:vAlign w:val="center"/>
          </w:tcPr>
          <w:p w14:paraId="24393E4A" w14:textId="77777777" w:rsidR="00483938" w:rsidRPr="007F561A" w:rsidRDefault="00483938" w:rsidP="00E43226">
            <w:pPr>
              <w:rPr>
                <w:rFonts w:ascii="Calibri" w:hAnsi="Calibri"/>
              </w:rPr>
            </w:pPr>
            <w:r w:rsidRPr="007F561A">
              <w:rPr>
                <w:rFonts w:ascii="Calibri" w:hAnsi="Calibri"/>
              </w:rPr>
              <w:t>Total</w:t>
            </w:r>
          </w:p>
        </w:tc>
        <w:tc>
          <w:tcPr>
            <w:tcW w:w="1980" w:type="dxa"/>
            <w:tcBorders>
              <w:top w:val="nil"/>
              <w:left w:val="nil"/>
              <w:bottom w:val="nil"/>
              <w:right w:val="nil"/>
            </w:tcBorders>
            <w:vAlign w:val="center"/>
          </w:tcPr>
          <w:p w14:paraId="43176929" w14:textId="77777777" w:rsidR="00483938" w:rsidRPr="007F561A" w:rsidRDefault="00483938" w:rsidP="00E43226">
            <w:pPr>
              <w:jc w:val="center"/>
              <w:rPr>
                <w:rFonts w:ascii="Calibri" w:hAnsi="Calibri"/>
              </w:rPr>
            </w:pPr>
          </w:p>
        </w:tc>
        <w:tc>
          <w:tcPr>
            <w:tcW w:w="2250" w:type="dxa"/>
            <w:tcBorders>
              <w:top w:val="nil"/>
              <w:left w:val="nil"/>
              <w:bottom w:val="nil"/>
              <w:right w:val="nil"/>
            </w:tcBorders>
            <w:vAlign w:val="center"/>
          </w:tcPr>
          <w:p w14:paraId="742A2049" w14:textId="77777777" w:rsidR="00483938" w:rsidRPr="0010789A" w:rsidRDefault="00E6069B" w:rsidP="00E43226">
            <w:pPr>
              <w:jc w:val="center"/>
            </w:pPr>
            <w:r>
              <w:t>$   5,810</w:t>
            </w:r>
          </w:p>
        </w:tc>
        <w:tc>
          <w:tcPr>
            <w:tcW w:w="2178" w:type="dxa"/>
            <w:tcBorders>
              <w:top w:val="nil"/>
              <w:left w:val="nil"/>
              <w:bottom w:val="nil"/>
            </w:tcBorders>
            <w:vAlign w:val="center"/>
          </w:tcPr>
          <w:p w14:paraId="0F257AEC" w14:textId="1AFFE29E" w:rsidR="007F561A" w:rsidRPr="0010789A" w:rsidRDefault="00050E1E" w:rsidP="00750D39">
            <w:pPr>
              <w:jc w:val="center"/>
            </w:pPr>
            <w:r>
              <w:t>$</w:t>
            </w:r>
            <w:r w:rsidR="00750D39">
              <w:t>10,437</w:t>
            </w:r>
          </w:p>
        </w:tc>
      </w:tr>
      <w:tr w:rsidR="007F561A" w:rsidRPr="0010789A" w14:paraId="5F9B0D5D" w14:textId="77777777" w:rsidTr="007F561A">
        <w:trPr>
          <w:trHeight w:val="315"/>
        </w:trPr>
        <w:tc>
          <w:tcPr>
            <w:tcW w:w="3168" w:type="dxa"/>
            <w:tcBorders>
              <w:top w:val="nil"/>
              <w:right w:val="nil"/>
            </w:tcBorders>
            <w:vAlign w:val="center"/>
          </w:tcPr>
          <w:p w14:paraId="332864F2" w14:textId="77777777" w:rsidR="007F561A" w:rsidRPr="007F561A" w:rsidRDefault="007F561A" w:rsidP="00E43226">
            <w:pPr>
              <w:rPr>
                <w:rFonts w:ascii="Calibri" w:hAnsi="Calibri"/>
              </w:rPr>
            </w:pPr>
          </w:p>
        </w:tc>
        <w:tc>
          <w:tcPr>
            <w:tcW w:w="1980" w:type="dxa"/>
            <w:tcBorders>
              <w:top w:val="nil"/>
              <w:left w:val="nil"/>
              <w:right w:val="nil"/>
            </w:tcBorders>
            <w:vAlign w:val="center"/>
          </w:tcPr>
          <w:p w14:paraId="2FB56C36" w14:textId="77777777" w:rsidR="007F561A" w:rsidRPr="007F561A" w:rsidRDefault="007F561A" w:rsidP="00E43226">
            <w:pPr>
              <w:jc w:val="center"/>
              <w:rPr>
                <w:rFonts w:ascii="Calibri" w:hAnsi="Calibri"/>
              </w:rPr>
            </w:pPr>
          </w:p>
        </w:tc>
        <w:tc>
          <w:tcPr>
            <w:tcW w:w="2250" w:type="dxa"/>
            <w:tcBorders>
              <w:top w:val="nil"/>
              <w:left w:val="nil"/>
              <w:right w:val="nil"/>
            </w:tcBorders>
            <w:vAlign w:val="center"/>
          </w:tcPr>
          <w:p w14:paraId="5E05145B" w14:textId="77777777" w:rsidR="007F561A" w:rsidRDefault="007F561A" w:rsidP="00E43226">
            <w:pPr>
              <w:jc w:val="center"/>
            </w:pPr>
          </w:p>
        </w:tc>
        <w:tc>
          <w:tcPr>
            <w:tcW w:w="2178" w:type="dxa"/>
            <w:tcBorders>
              <w:top w:val="nil"/>
              <w:left w:val="nil"/>
            </w:tcBorders>
            <w:vAlign w:val="center"/>
          </w:tcPr>
          <w:p w14:paraId="03EABE81" w14:textId="77777777" w:rsidR="007F561A" w:rsidRDefault="007F561A" w:rsidP="00E43226">
            <w:pPr>
              <w:jc w:val="center"/>
            </w:pPr>
          </w:p>
        </w:tc>
      </w:tr>
      <w:tr w:rsidR="00483938" w:rsidRPr="0010789A" w14:paraId="58E514ED" w14:textId="77777777" w:rsidTr="007F561A">
        <w:trPr>
          <w:trHeight w:val="1034"/>
        </w:trPr>
        <w:tc>
          <w:tcPr>
            <w:tcW w:w="9576" w:type="dxa"/>
            <w:gridSpan w:val="4"/>
            <w:vAlign w:val="center"/>
          </w:tcPr>
          <w:p w14:paraId="5A5C92F5" w14:textId="65A57B79" w:rsidR="007F561A" w:rsidRDefault="00483938" w:rsidP="00E43226">
            <w:pPr>
              <w:rPr>
                <w:rFonts w:ascii="Calibri" w:hAnsi="Calibri"/>
              </w:rPr>
            </w:pPr>
            <w:r w:rsidRPr="007F561A">
              <w:rPr>
                <w:rFonts w:ascii="Calibri" w:hAnsi="Calibri"/>
                <w:vertAlign w:val="superscript"/>
              </w:rPr>
              <w:t>a</w:t>
            </w:r>
            <w:r w:rsidRPr="007F561A">
              <w:rPr>
                <w:rFonts w:ascii="Calibri" w:hAnsi="Calibri"/>
              </w:rPr>
              <w:t xml:space="preserve"> Medical costs adjusted using </w:t>
            </w:r>
            <w:r w:rsidR="00050E1E" w:rsidRPr="007F561A">
              <w:rPr>
                <w:rFonts w:ascii="Calibri" w:hAnsi="Calibri"/>
              </w:rPr>
              <w:t xml:space="preserve">medical CPI in August 2000 </w:t>
            </w:r>
            <w:r w:rsidR="00750D39">
              <w:rPr>
                <w:rFonts w:ascii="Calibri" w:hAnsi="Calibri"/>
              </w:rPr>
              <w:t xml:space="preserve">and 2016 </w:t>
            </w:r>
            <w:r w:rsidR="00050E1E" w:rsidRPr="007F561A">
              <w:rPr>
                <w:rFonts w:ascii="Calibri" w:hAnsi="Calibri"/>
              </w:rPr>
              <w:t xml:space="preserve">= </w:t>
            </w:r>
            <w:r w:rsidR="0003717F" w:rsidRPr="007F561A">
              <w:rPr>
                <w:rFonts w:ascii="Calibri" w:hAnsi="Calibri"/>
              </w:rPr>
              <w:t xml:space="preserve">260.8 </w:t>
            </w:r>
            <w:r w:rsidRPr="007F561A">
              <w:rPr>
                <w:rFonts w:ascii="Calibri" w:hAnsi="Calibri"/>
              </w:rPr>
              <w:t xml:space="preserve">and </w:t>
            </w:r>
            <w:r w:rsidR="00750D39">
              <w:rPr>
                <w:rFonts w:ascii="Calibri" w:hAnsi="Calibri"/>
              </w:rPr>
              <w:t>468.5</w:t>
            </w:r>
            <w:r w:rsidR="00050E1E" w:rsidRPr="007F561A">
              <w:rPr>
                <w:rFonts w:ascii="Calibri" w:hAnsi="Calibri"/>
              </w:rPr>
              <w:t xml:space="preserve">.  </w:t>
            </w:r>
          </w:p>
          <w:p w14:paraId="2C7EA99B" w14:textId="187EB404" w:rsidR="00050E1E" w:rsidRPr="007F561A" w:rsidRDefault="007F561A" w:rsidP="00E43226">
            <w:pPr>
              <w:rPr>
                <w:rFonts w:ascii="Calibri" w:hAnsi="Calibri"/>
              </w:rPr>
            </w:pPr>
            <w:r>
              <w:rPr>
                <w:rFonts w:ascii="Calibri" w:hAnsi="Calibri"/>
              </w:rPr>
              <w:t>(Sources:</w:t>
            </w:r>
            <w:r w:rsidR="00050E1E" w:rsidRPr="007F561A">
              <w:rPr>
                <w:rFonts w:ascii="Calibri" w:hAnsi="Calibri"/>
              </w:rPr>
              <w:t xml:space="preserve"> </w:t>
            </w:r>
            <w:hyperlink r:id="rId8" w:history="1">
              <w:r w:rsidR="0003717F" w:rsidRPr="007F561A">
                <w:rPr>
                  <w:rStyle w:val="Hyperlink"/>
                  <w:rFonts w:ascii="Calibri" w:hAnsi="Calibri"/>
                </w:rPr>
                <w:t>http://www.bls.gov/cpi/cpid00av.pdf</w:t>
              </w:r>
            </w:hyperlink>
            <w:r w:rsidR="0003717F" w:rsidRPr="007F561A">
              <w:rPr>
                <w:rFonts w:ascii="Calibri" w:hAnsi="Calibri"/>
              </w:rPr>
              <w:t xml:space="preserve"> </w:t>
            </w:r>
            <w:r w:rsidR="00050E1E" w:rsidRPr="007F561A">
              <w:rPr>
                <w:rFonts w:ascii="Calibri" w:hAnsi="Calibri"/>
              </w:rPr>
              <w:t xml:space="preserve">and </w:t>
            </w:r>
            <w:r w:rsidR="00750D39" w:rsidRPr="00750D39">
              <w:rPr>
                <w:rStyle w:val="Hyperlink"/>
                <w:rFonts w:ascii="Calibri" w:hAnsi="Calibri"/>
              </w:rPr>
              <w:t>http://www.bls.gov/cpi/cpid1608.pdf</w:t>
            </w:r>
            <w:r w:rsidR="00050E1E" w:rsidRPr="007F561A">
              <w:rPr>
                <w:rFonts w:ascii="Calibri" w:hAnsi="Calibri"/>
              </w:rPr>
              <w:t>)</w:t>
            </w:r>
            <w:r w:rsidR="00483938" w:rsidRPr="007F561A">
              <w:rPr>
                <w:rFonts w:ascii="Calibri" w:hAnsi="Calibri"/>
              </w:rPr>
              <w:t xml:space="preserve"> </w:t>
            </w:r>
          </w:p>
          <w:p w14:paraId="123D68AB" w14:textId="77777777" w:rsidR="00483938" w:rsidRPr="007F561A" w:rsidRDefault="00050E1E" w:rsidP="00E43226">
            <w:pPr>
              <w:rPr>
                <w:rFonts w:ascii="Calibri" w:hAnsi="Calibri"/>
              </w:rPr>
            </w:pPr>
            <w:r w:rsidRPr="007F561A">
              <w:rPr>
                <w:rFonts w:ascii="Calibri" w:hAnsi="Calibri"/>
                <w:vertAlign w:val="superscript"/>
              </w:rPr>
              <w:t>b</w:t>
            </w:r>
            <w:r w:rsidR="00483938" w:rsidRPr="007F561A">
              <w:rPr>
                <w:rFonts w:ascii="Calibri" w:hAnsi="Calibri"/>
              </w:rPr>
              <w:t xml:space="preserve"> Average of male and female costs.</w:t>
            </w:r>
          </w:p>
        </w:tc>
      </w:tr>
    </w:tbl>
    <w:p w14:paraId="6760B9C3" w14:textId="77777777" w:rsidR="00132959" w:rsidRDefault="00132959" w:rsidP="00483938">
      <w:pPr>
        <w:ind w:firstLine="720"/>
      </w:pPr>
    </w:p>
    <w:p w14:paraId="04C35CBD" w14:textId="77777777" w:rsidR="00483938" w:rsidRDefault="00483938" w:rsidP="00132959">
      <w:r>
        <w:t>The reason that the lifetime medical costs for the smoker are lower than the costs through age 50 is mostly that smokers do not live as long and so incur medical costs earlier than nonsmokers (and future costs are discounted).</w:t>
      </w:r>
    </w:p>
    <w:p w14:paraId="55C96B8B" w14:textId="77777777" w:rsidR="0003717F" w:rsidRDefault="0003717F" w:rsidP="00E927ED">
      <w:pPr>
        <w:tabs>
          <w:tab w:val="left" w:pos="720"/>
          <w:tab w:val="left" w:pos="5760"/>
        </w:tabs>
      </w:pPr>
    </w:p>
    <w:p w14:paraId="2B2F85C5" w14:textId="4FCCB5E0" w:rsidR="005549AA" w:rsidRPr="00E927ED" w:rsidRDefault="00132959" w:rsidP="00E927ED">
      <w:pPr>
        <w:tabs>
          <w:tab w:val="left" w:pos="720"/>
          <w:tab w:val="left" w:pos="5760"/>
        </w:tabs>
        <w:rPr>
          <w:b/>
          <w:bCs/>
          <w:i/>
          <w:sz w:val="18"/>
          <w:szCs w:val="18"/>
        </w:rPr>
      </w:pPr>
      <w:r w:rsidRPr="00132959">
        <w:rPr>
          <w:i/>
        </w:rPr>
        <w:t>Suggested brief description:</w:t>
      </w:r>
      <w:r>
        <w:t xml:space="preserve"> </w:t>
      </w:r>
      <w:r w:rsidR="0003717F">
        <w:t xml:space="preserve">Discounted present value </w:t>
      </w:r>
      <w:r w:rsidR="007F561A">
        <w:t>of future medical costs of a 24-year-</w:t>
      </w:r>
      <w:r w:rsidR="0003717F">
        <w:t xml:space="preserve">old smoker based on values in Tables 5.6 and 11.2 of </w:t>
      </w:r>
      <w:r w:rsidR="0003717F" w:rsidRPr="0050051A">
        <w:rPr>
          <w:i/>
        </w:rPr>
        <w:t>The Price of Smoking</w:t>
      </w:r>
      <w:r w:rsidR="0003717F">
        <w:rPr>
          <w:i/>
        </w:rPr>
        <w:t xml:space="preserve">, </w:t>
      </w:r>
      <w:r w:rsidR="0003717F">
        <w:t>by Frank Sloan, et al. (Cambridge, MA, MIT Press, 2004) adjusted to August 201</w:t>
      </w:r>
      <w:r w:rsidR="00750D39">
        <w:t>6</w:t>
      </w:r>
      <w:r w:rsidR="0003717F">
        <w:t xml:space="preserve"> prices using the Medical CPI.</w:t>
      </w:r>
      <w:r w:rsidR="004E5119">
        <w:rPr>
          <w:szCs w:val="24"/>
          <w:lang w:val="en-CA"/>
        </w:rPr>
        <w:fldChar w:fldCharType="begin"/>
      </w:r>
      <w:r w:rsidR="00E927ED">
        <w:rPr>
          <w:szCs w:val="24"/>
          <w:lang w:val="en-CA"/>
        </w:rPr>
        <w:instrText xml:space="preserve"> SEQ CHAPTER \h \r 1</w:instrText>
      </w:r>
      <w:r w:rsidR="004E5119">
        <w:rPr>
          <w:szCs w:val="24"/>
          <w:lang w:val="en-CA"/>
        </w:rPr>
        <w:fldChar w:fldCharType="end"/>
      </w:r>
    </w:p>
    <w:sectPr w:rsidR="005549AA" w:rsidRPr="00E927ED" w:rsidSect="004E5119">
      <w:footerReference w:type="even" r:id="rId9"/>
      <w:footerReference w:type="default" r:id="rId10"/>
      <w:headerReference w:type="first" r:id="rId11"/>
      <w:pgSz w:w="12240" w:h="15840" w:code="1"/>
      <w:pgMar w:top="936" w:right="1296" w:bottom="1224" w:left="1296" w:header="720" w:footer="72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0F9E1" w14:textId="77777777" w:rsidR="00A05C96" w:rsidRDefault="00A05C96">
      <w:r>
        <w:separator/>
      </w:r>
    </w:p>
  </w:endnote>
  <w:endnote w:type="continuationSeparator" w:id="0">
    <w:p w14:paraId="22561B01" w14:textId="77777777" w:rsidR="00A05C96" w:rsidRDefault="00A0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214ADC" w14:textId="77777777" w:rsidR="005549AA" w:rsidRDefault="004E5119">
    <w:pPr>
      <w:pStyle w:val="Footer"/>
      <w:framePr w:wrap="around" w:vAnchor="text" w:hAnchor="margin" w:xAlign="center" w:y="1"/>
      <w:rPr>
        <w:rStyle w:val="PageNumber"/>
      </w:rPr>
    </w:pPr>
    <w:r>
      <w:rPr>
        <w:rStyle w:val="PageNumber"/>
      </w:rPr>
      <w:fldChar w:fldCharType="begin"/>
    </w:r>
    <w:r w:rsidR="005549AA">
      <w:rPr>
        <w:rStyle w:val="PageNumber"/>
      </w:rPr>
      <w:instrText xml:space="preserve">PAGE  </w:instrText>
    </w:r>
    <w:r>
      <w:rPr>
        <w:rStyle w:val="PageNumber"/>
      </w:rPr>
      <w:fldChar w:fldCharType="end"/>
    </w:r>
  </w:p>
  <w:p w14:paraId="4941BFC0" w14:textId="77777777" w:rsidR="005549AA" w:rsidRDefault="005549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A0D67D" w14:textId="77777777" w:rsidR="005549AA" w:rsidRDefault="004E5119">
    <w:pPr>
      <w:pStyle w:val="Footer"/>
      <w:framePr w:wrap="around" w:vAnchor="text" w:hAnchor="margin" w:xAlign="center" w:y="1"/>
      <w:rPr>
        <w:rStyle w:val="PageNumber"/>
      </w:rPr>
    </w:pPr>
    <w:r>
      <w:rPr>
        <w:rStyle w:val="PageNumber"/>
      </w:rPr>
      <w:fldChar w:fldCharType="begin"/>
    </w:r>
    <w:r w:rsidR="005549AA">
      <w:rPr>
        <w:rStyle w:val="PageNumber"/>
      </w:rPr>
      <w:instrText xml:space="preserve">PAGE  </w:instrText>
    </w:r>
    <w:r>
      <w:rPr>
        <w:rStyle w:val="PageNumber"/>
      </w:rPr>
      <w:fldChar w:fldCharType="separate"/>
    </w:r>
    <w:r w:rsidR="00F50702">
      <w:rPr>
        <w:rStyle w:val="PageNumber"/>
        <w:noProof/>
      </w:rPr>
      <w:t>2</w:t>
    </w:r>
    <w:r>
      <w:rPr>
        <w:rStyle w:val="PageNumber"/>
      </w:rPr>
      <w:fldChar w:fldCharType="end"/>
    </w:r>
  </w:p>
  <w:p w14:paraId="765136EC" w14:textId="77777777" w:rsidR="005549AA" w:rsidRDefault="00554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26D0" w14:textId="77777777" w:rsidR="00A05C96" w:rsidRDefault="00A05C96">
      <w:r>
        <w:separator/>
      </w:r>
    </w:p>
  </w:footnote>
  <w:footnote w:type="continuationSeparator" w:id="0">
    <w:p w14:paraId="4FF7A4BA" w14:textId="77777777" w:rsidR="00A05C96" w:rsidRDefault="00A05C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ECCF74" w14:textId="77777777" w:rsidR="005549AA" w:rsidRDefault="005549AA" w:rsidP="00B45D41">
    <w:pPr>
      <w:rPr>
        <w:rFonts w:ascii="Book Antiqua" w:hAnsi="Book Antiqua"/>
        <w:spacing w:val="60"/>
      </w:rPr>
    </w:pPr>
    <w:r>
      <w:rPr>
        <w:rFonts w:ascii="Book Antiqua" w:hAnsi="Book Antiqua"/>
        <w:spacing w:val="60"/>
      </w:rPr>
      <w:t>UNIVERSITY OF CALIFORNIA SAN FRANCISCO</w:t>
    </w:r>
  </w:p>
  <w:tbl>
    <w:tblPr>
      <w:tblW w:w="0" w:type="auto"/>
      <w:tblInd w:w="108" w:type="dxa"/>
      <w:tblLayout w:type="fixed"/>
      <w:tblLook w:val="0000" w:firstRow="0" w:lastRow="0" w:firstColumn="0" w:lastColumn="0" w:noHBand="0" w:noVBand="0"/>
    </w:tblPr>
    <w:tblGrid>
      <w:gridCol w:w="6840"/>
      <w:gridCol w:w="468"/>
      <w:gridCol w:w="882"/>
      <w:gridCol w:w="2250"/>
      <w:gridCol w:w="108"/>
    </w:tblGrid>
    <w:tr w:rsidR="005549AA" w14:paraId="51074EFB" w14:textId="77777777">
      <w:trPr>
        <w:gridAfter w:val="1"/>
        <w:wAfter w:w="108" w:type="dxa"/>
        <w:trHeight w:val="603"/>
      </w:trPr>
      <w:tc>
        <w:tcPr>
          <w:tcW w:w="6840" w:type="dxa"/>
          <w:tcBorders>
            <w:bottom w:val="single" w:sz="4" w:space="0" w:color="auto"/>
          </w:tcBorders>
        </w:tcPr>
        <w:p w14:paraId="6DDF6F34" w14:textId="77777777" w:rsidR="005549AA" w:rsidRDefault="00A05C96">
          <w:pPr>
            <w:pStyle w:val="Header"/>
            <w:jc w:val="center"/>
            <w:rPr>
              <w:sz w:val="16"/>
            </w:rPr>
          </w:pPr>
          <w:r>
            <w:rPr>
              <w:noProof/>
              <w:sz w:val="16"/>
            </w:rPr>
            <w:object w:dxaOrig="1440" w:dyaOrig="1440" w14:anchorId="228B4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5.6pt;margin-top:4.85pt;width:58.55pt;height:61.65pt;z-index:251657728" o:allowincell="f">
                <v:imagedata r:id="rId1" o:title=""/>
                <w10:wrap type="topAndBottom"/>
              </v:shape>
              <o:OLEObject Type="Embed" ProgID="Word.Picture.8" ShapeID="_x0000_s2049" DrawAspect="Content" ObjectID="_1536908426" r:id="rId2"/>
            </w:object>
          </w:r>
        </w:p>
      </w:tc>
      <w:tc>
        <w:tcPr>
          <w:tcW w:w="1350" w:type="dxa"/>
          <w:gridSpan w:val="2"/>
        </w:tcPr>
        <w:p w14:paraId="2FBA0478" w14:textId="77777777" w:rsidR="005549AA" w:rsidRDefault="005549AA">
          <w:pPr>
            <w:pStyle w:val="Header"/>
            <w:rPr>
              <w:sz w:val="16"/>
            </w:rPr>
          </w:pPr>
        </w:p>
      </w:tc>
      <w:tc>
        <w:tcPr>
          <w:tcW w:w="2250" w:type="dxa"/>
          <w:tcBorders>
            <w:bottom w:val="single" w:sz="4" w:space="0" w:color="auto"/>
          </w:tcBorders>
        </w:tcPr>
        <w:p w14:paraId="0E4A3CB3" w14:textId="77777777" w:rsidR="005549AA" w:rsidRDefault="005549AA">
          <w:pPr>
            <w:pStyle w:val="Header"/>
            <w:jc w:val="center"/>
            <w:rPr>
              <w:sz w:val="16"/>
            </w:rPr>
          </w:pPr>
        </w:p>
      </w:tc>
    </w:tr>
    <w:tr w:rsidR="005549AA" w14:paraId="660D4F0E" w14:textId="77777777">
      <w:tblPrEx>
        <w:tblCellMar>
          <w:left w:w="0" w:type="dxa"/>
          <w:right w:w="0" w:type="dxa"/>
        </w:tblCellMar>
      </w:tblPrEx>
      <w:trPr>
        <w:trHeight w:val="242"/>
      </w:trPr>
      <w:tc>
        <w:tcPr>
          <w:tcW w:w="7308" w:type="dxa"/>
          <w:gridSpan w:val="2"/>
        </w:tcPr>
        <w:p w14:paraId="206DD69E" w14:textId="77777777" w:rsidR="005549AA" w:rsidRDefault="005549AA">
          <w:pPr>
            <w:pStyle w:val="Header"/>
            <w:rPr>
              <w:rFonts w:ascii="Book Antiqua" w:hAnsi="Book Antiqua"/>
              <w:sz w:val="5"/>
            </w:rPr>
          </w:pPr>
        </w:p>
        <w:p w14:paraId="30CF204D" w14:textId="77777777" w:rsidR="005549AA" w:rsidRDefault="005549AA">
          <w:pPr>
            <w:pStyle w:val="Header"/>
            <w:rPr>
              <w:rFonts w:ascii="Book Antiqua" w:hAnsi="Book Antiqua"/>
              <w:spacing w:val="1"/>
              <w:sz w:val="13"/>
            </w:rPr>
          </w:pPr>
          <w:r>
            <w:rPr>
              <w:rFonts w:ascii="Book Antiqua" w:hAnsi="Book Antiqua"/>
              <w:spacing w:val="1"/>
              <w:sz w:val="13"/>
            </w:rPr>
            <w:t>BERKELEY</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DAVIS</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IRVINE</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LOS ANGELES</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MERCED</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RIVERSIDE</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SAN DIEGO</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SAN FRANCISCO</w:t>
          </w:r>
        </w:p>
        <w:p w14:paraId="1516E698" w14:textId="77777777" w:rsidR="005549AA" w:rsidRDefault="005549AA">
          <w:pPr>
            <w:pStyle w:val="Header"/>
            <w:rPr>
              <w:rFonts w:ascii="Book Antiqua" w:hAnsi="Book Antiqua"/>
              <w:sz w:val="4"/>
            </w:rPr>
          </w:pPr>
        </w:p>
      </w:tc>
      <w:tc>
        <w:tcPr>
          <w:tcW w:w="882" w:type="dxa"/>
        </w:tcPr>
        <w:p w14:paraId="2A9906AC" w14:textId="77777777" w:rsidR="005549AA" w:rsidRDefault="005549AA">
          <w:pPr>
            <w:pStyle w:val="Header"/>
            <w:rPr>
              <w:rFonts w:ascii="Book Antiqua" w:hAnsi="Book Antiqua"/>
              <w:sz w:val="13"/>
            </w:rPr>
          </w:pPr>
        </w:p>
      </w:tc>
      <w:tc>
        <w:tcPr>
          <w:tcW w:w="2250" w:type="dxa"/>
          <w:gridSpan w:val="2"/>
          <w:tcBorders>
            <w:top w:val="single" w:sz="4" w:space="0" w:color="auto"/>
            <w:bottom w:val="single" w:sz="4" w:space="0" w:color="auto"/>
          </w:tcBorders>
        </w:tcPr>
        <w:p w14:paraId="4BA1C9D4" w14:textId="77777777" w:rsidR="005549AA" w:rsidRDefault="005549AA">
          <w:pPr>
            <w:pStyle w:val="Header"/>
            <w:jc w:val="center"/>
            <w:rPr>
              <w:rFonts w:ascii="Book Antiqua" w:hAnsi="Book Antiqua"/>
              <w:sz w:val="5"/>
            </w:rPr>
          </w:pPr>
        </w:p>
        <w:p w14:paraId="18C89F96" w14:textId="77777777" w:rsidR="005549AA" w:rsidRDefault="005549AA">
          <w:pPr>
            <w:pStyle w:val="Header"/>
            <w:jc w:val="center"/>
            <w:rPr>
              <w:rFonts w:ascii="Book Antiqua" w:hAnsi="Book Antiqua"/>
              <w:sz w:val="13"/>
            </w:rPr>
          </w:pPr>
          <w:r>
            <w:rPr>
              <w:rFonts w:ascii="Book Antiqua" w:hAnsi="Book Antiqua"/>
              <w:sz w:val="13"/>
            </w:rPr>
            <w:t>SANTA BARBARA</w:t>
          </w:r>
          <w:r>
            <w:rPr>
              <w:rFonts w:ascii="Book Antiqua" w:hAnsi="Book Antiqua"/>
              <w:spacing w:val="25"/>
              <w:sz w:val="13"/>
            </w:rPr>
            <w:t xml:space="preserve"> </w:t>
          </w:r>
          <w:r>
            <w:rPr>
              <w:rFonts w:ascii="Book Antiqua" w:hAnsi="Book Antiqua"/>
              <w:spacing w:val="20"/>
              <w:sz w:val="13"/>
            </w:rPr>
            <w:t xml:space="preserve">• </w:t>
          </w:r>
          <w:r>
            <w:rPr>
              <w:rFonts w:ascii="Book Antiqua" w:hAnsi="Book Antiqua"/>
              <w:sz w:val="13"/>
            </w:rPr>
            <w:t>SANTA CRUZ</w:t>
          </w:r>
        </w:p>
        <w:p w14:paraId="639F019A" w14:textId="77777777" w:rsidR="005549AA" w:rsidRDefault="005549AA">
          <w:pPr>
            <w:pStyle w:val="Header"/>
            <w:jc w:val="center"/>
            <w:rPr>
              <w:rFonts w:ascii="Book Antiqua" w:hAnsi="Book Antiqua"/>
              <w:sz w:val="4"/>
            </w:rPr>
          </w:pPr>
        </w:p>
      </w:tc>
    </w:tr>
    <w:tr w:rsidR="005549AA" w14:paraId="02859516" w14:textId="77777777">
      <w:tblPrEx>
        <w:tblCellMar>
          <w:left w:w="0" w:type="dxa"/>
          <w:right w:w="0" w:type="dxa"/>
        </w:tblCellMar>
      </w:tblPrEx>
      <w:trPr>
        <w:cantSplit/>
        <w:trHeight w:val="512"/>
      </w:trPr>
      <w:tc>
        <w:tcPr>
          <w:tcW w:w="6840" w:type="dxa"/>
          <w:tcBorders>
            <w:top w:val="single" w:sz="4" w:space="0" w:color="auto"/>
          </w:tcBorders>
        </w:tcPr>
        <w:p w14:paraId="279EAB52" w14:textId="77777777" w:rsidR="005549AA" w:rsidRDefault="005549AA">
          <w:pPr>
            <w:pStyle w:val="Header"/>
            <w:rPr>
              <w:noProof/>
              <w:sz w:val="16"/>
            </w:rPr>
          </w:pPr>
        </w:p>
      </w:tc>
      <w:tc>
        <w:tcPr>
          <w:tcW w:w="3600" w:type="dxa"/>
          <w:gridSpan w:val="4"/>
        </w:tcPr>
        <w:p w14:paraId="0D1F3D76" w14:textId="77777777" w:rsidR="005549AA" w:rsidRDefault="005549AA">
          <w:pPr>
            <w:pStyle w:val="Header"/>
            <w:rPr>
              <w:sz w:val="16"/>
            </w:rPr>
          </w:pPr>
        </w:p>
      </w:tc>
    </w:tr>
  </w:tbl>
  <w:p w14:paraId="59B52FD4" w14:textId="77777777" w:rsidR="005549AA" w:rsidRDefault="005549AA">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C5E"/>
    <w:multiLevelType w:val="hybridMultilevel"/>
    <w:tmpl w:val="A0CE9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05124"/>
    <w:multiLevelType w:val="hybridMultilevel"/>
    <w:tmpl w:val="1F6C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371BF"/>
    <w:multiLevelType w:val="multilevel"/>
    <w:tmpl w:val="85BE3D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2178F6"/>
    <w:multiLevelType w:val="hybridMultilevel"/>
    <w:tmpl w:val="F7889CEE"/>
    <w:lvl w:ilvl="0" w:tplc="FA681D7A">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CA14EA"/>
    <w:multiLevelType w:val="multilevel"/>
    <w:tmpl w:val="134E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FB"/>
    <w:rsid w:val="0003333B"/>
    <w:rsid w:val="0003717F"/>
    <w:rsid w:val="00050E1E"/>
    <w:rsid w:val="00132959"/>
    <w:rsid w:val="001432B8"/>
    <w:rsid w:val="003F27DA"/>
    <w:rsid w:val="003F5BD6"/>
    <w:rsid w:val="00434AA1"/>
    <w:rsid w:val="00483938"/>
    <w:rsid w:val="004E5119"/>
    <w:rsid w:val="005549AA"/>
    <w:rsid w:val="0068132E"/>
    <w:rsid w:val="006A1FD0"/>
    <w:rsid w:val="00750D39"/>
    <w:rsid w:val="007F561A"/>
    <w:rsid w:val="007F5645"/>
    <w:rsid w:val="009E1531"/>
    <w:rsid w:val="00A05C96"/>
    <w:rsid w:val="00AC2908"/>
    <w:rsid w:val="00AF4EBE"/>
    <w:rsid w:val="00B45D41"/>
    <w:rsid w:val="00CD4087"/>
    <w:rsid w:val="00E6069B"/>
    <w:rsid w:val="00E927ED"/>
    <w:rsid w:val="00E977D2"/>
    <w:rsid w:val="00EB70FB"/>
    <w:rsid w:val="00F11424"/>
    <w:rsid w:val="00F50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57E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119"/>
    <w:rPr>
      <w:sz w:val="24"/>
    </w:rPr>
  </w:style>
  <w:style w:type="paragraph" w:styleId="Heading1">
    <w:name w:val="heading 1"/>
    <w:basedOn w:val="Normal"/>
    <w:next w:val="Normal"/>
    <w:qFormat/>
    <w:rsid w:val="004E5119"/>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E5119"/>
    <w:pPr>
      <w:tabs>
        <w:tab w:val="center" w:pos="4320"/>
        <w:tab w:val="right" w:pos="8640"/>
      </w:tabs>
    </w:pPr>
  </w:style>
  <w:style w:type="paragraph" w:styleId="Footer">
    <w:name w:val="footer"/>
    <w:basedOn w:val="Normal"/>
    <w:semiHidden/>
    <w:rsid w:val="004E5119"/>
    <w:pPr>
      <w:tabs>
        <w:tab w:val="center" w:pos="4320"/>
        <w:tab w:val="right" w:pos="8640"/>
      </w:tabs>
    </w:pPr>
  </w:style>
  <w:style w:type="paragraph" w:styleId="BodyTextIndent">
    <w:name w:val="Body Text Indent"/>
    <w:basedOn w:val="Normal"/>
    <w:semiHidden/>
    <w:rsid w:val="004E5119"/>
    <w:pPr>
      <w:tabs>
        <w:tab w:val="left" w:pos="720"/>
        <w:tab w:val="left" w:pos="5760"/>
      </w:tabs>
      <w:ind w:left="720"/>
    </w:pPr>
  </w:style>
  <w:style w:type="character" w:styleId="Hyperlink">
    <w:name w:val="Hyperlink"/>
    <w:basedOn w:val="DefaultParagraphFont"/>
    <w:uiPriority w:val="99"/>
    <w:rsid w:val="004E5119"/>
    <w:rPr>
      <w:color w:val="0000FF"/>
      <w:u w:val="single"/>
    </w:rPr>
  </w:style>
  <w:style w:type="paragraph" w:styleId="NormalWeb">
    <w:name w:val="Normal (Web)"/>
    <w:basedOn w:val="Normal"/>
    <w:semiHidden/>
    <w:rsid w:val="004E5119"/>
    <w:pPr>
      <w:spacing w:before="100" w:beforeAutospacing="1" w:after="100" w:afterAutospacing="1"/>
    </w:pPr>
    <w:rPr>
      <w:szCs w:val="24"/>
    </w:rPr>
  </w:style>
  <w:style w:type="paragraph" w:styleId="BalloonText">
    <w:name w:val="Balloon Text"/>
    <w:basedOn w:val="Normal"/>
    <w:semiHidden/>
    <w:rsid w:val="004E5119"/>
    <w:rPr>
      <w:rFonts w:ascii="Tahoma" w:hAnsi="Tahoma" w:cs="Tahoma"/>
      <w:sz w:val="16"/>
      <w:szCs w:val="16"/>
    </w:rPr>
  </w:style>
  <w:style w:type="character" w:styleId="PageNumber">
    <w:name w:val="page number"/>
    <w:basedOn w:val="DefaultParagraphFont"/>
    <w:semiHidden/>
    <w:rsid w:val="004E5119"/>
  </w:style>
  <w:style w:type="paragraph" w:styleId="ListParagraph">
    <w:name w:val="List Paragraph"/>
    <w:basedOn w:val="Normal"/>
    <w:uiPriority w:val="34"/>
    <w:qFormat/>
    <w:rsid w:val="00483938"/>
    <w:pPr>
      <w:ind w:left="720"/>
      <w:contextualSpacing/>
      <w:jc w:val="both"/>
    </w:pPr>
    <w:rPr>
      <w:rFonts w:eastAsia="Calibri"/>
      <w:szCs w:val="24"/>
    </w:rPr>
  </w:style>
  <w:style w:type="character" w:styleId="FollowedHyperlink">
    <w:name w:val="FollowedHyperlink"/>
    <w:basedOn w:val="DefaultParagraphFont"/>
    <w:uiPriority w:val="99"/>
    <w:semiHidden/>
    <w:unhideWhenUsed/>
    <w:rsid w:val="00050E1E"/>
    <w:rPr>
      <w:color w:val="800080" w:themeColor="followedHyperlink"/>
      <w:u w:val="single"/>
    </w:rPr>
  </w:style>
  <w:style w:type="character" w:styleId="CommentReference">
    <w:name w:val="annotation reference"/>
    <w:basedOn w:val="DefaultParagraphFont"/>
    <w:uiPriority w:val="99"/>
    <w:semiHidden/>
    <w:unhideWhenUsed/>
    <w:rsid w:val="00E977D2"/>
    <w:rPr>
      <w:sz w:val="16"/>
      <w:szCs w:val="16"/>
    </w:rPr>
  </w:style>
  <w:style w:type="paragraph" w:styleId="CommentText">
    <w:name w:val="annotation text"/>
    <w:basedOn w:val="Normal"/>
    <w:link w:val="CommentTextChar"/>
    <w:uiPriority w:val="99"/>
    <w:semiHidden/>
    <w:unhideWhenUsed/>
    <w:rsid w:val="00E977D2"/>
    <w:rPr>
      <w:sz w:val="20"/>
    </w:rPr>
  </w:style>
  <w:style w:type="character" w:customStyle="1" w:styleId="CommentTextChar">
    <w:name w:val="Comment Text Char"/>
    <w:basedOn w:val="DefaultParagraphFont"/>
    <w:link w:val="CommentText"/>
    <w:uiPriority w:val="99"/>
    <w:semiHidden/>
    <w:rsid w:val="00E977D2"/>
  </w:style>
  <w:style w:type="paragraph" w:styleId="CommentSubject">
    <w:name w:val="annotation subject"/>
    <w:basedOn w:val="CommentText"/>
    <w:next w:val="CommentText"/>
    <w:link w:val="CommentSubjectChar"/>
    <w:uiPriority w:val="99"/>
    <w:semiHidden/>
    <w:unhideWhenUsed/>
    <w:rsid w:val="00E977D2"/>
    <w:rPr>
      <w:b/>
      <w:bCs/>
    </w:rPr>
  </w:style>
  <w:style w:type="character" w:customStyle="1" w:styleId="CommentSubjectChar">
    <w:name w:val="Comment Subject Char"/>
    <w:basedOn w:val="CommentTextChar"/>
    <w:link w:val="CommentSubject"/>
    <w:uiPriority w:val="99"/>
    <w:semiHidden/>
    <w:rsid w:val="00E97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s.gov/cpi/cpid00av.pdf"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lantz\AppData\Roaming\Microsoft\Templates\UCletterhead-s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53D3-F3E4-E14D-973D-86621CB6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C:\Users\sglantz\AppData\Roaming\Microsoft\Templates\UCletterhead-sag.dotx</Template>
  <TotalTime>1</TotalTime>
  <Pages>2</Pages>
  <Words>596</Words>
  <Characters>3401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UNIVERSITY COMMITTEE ON RESEARCH POLICY (UCORP)</vt:lpstr>
    </vt:vector>
  </TitlesOfParts>
  <Company>Office of the President</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COMMITTEE ON RESEARCH POLICY (UCORP)</dc:title>
  <dc:creator>Stan Glantz</dc:creator>
  <cp:lastModifiedBy>Jonathan Polansky</cp:lastModifiedBy>
  <cp:revision>2</cp:revision>
  <cp:lastPrinted>2015-05-06T23:57:00Z</cp:lastPrinted>
  <dcterms:created xsi:type="dcterms:W3CDTF">2016-10-02T17:13:00Z</dcterms:created>
  <dcterms:modified xsi:type="dcterms:W3CDTF">2016-10-02T17:13:00Z</dcterms:modified>
</cp:coreProperties>
</file>